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36"/>
        </w:rPr>
      </w:pPr>
      <w:r>
        <w:rPr>
          <w:rFonts w:hint="eastAsia" w:ascii="宋体" w:hAnsi="宋体" w:eastAsia="宋体" w:cs="宋体"/>
          <w:b/>
          <w:bCs/>
          <w:sz w:val="28"/>
          <w:szCs w:val="36"/>
        </w:rPr>
        <w:t>华中科技大学2022年硕士研究生招生考试复试基本分数要求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 xml:space="preserve"> 根据教育部有关规定，结合</w:t>
      </w:r>
      <w:bookmarkStart w:id="0" w:name="_GoBack"/>
      <w:bookmarkEnd w:id="0"/>
      <w:r>
        <w:rPr>
          <w:rFonts w:hint="eastAsia" w:ascii="宋体" w:hAnsi="宋体" w:eastAsia="宋体" w:cs="宋体"/>
          <w:b w:val="0"/>
          <w:bCs w:val="0"/>
          <w:sz w:val="24"/>
          <w:szCs w:val="32"/>
        </w:rPr>
        <w:t>学校实际情况，经学校研究生招生领导小组会议研究决定我校2022年硕士研究生招生考试复试基本分数要求如下：</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jc w:val="both"/>
        <w:textAlignment w:val="auto"/>
        <w:rPr>
          <w:rFonts w:hint="eastAsia" w:ascii="宋体" w:hAnsi="宋体" w:eastAsia="宋体" w:cs="宋体"/>
          <w:b/>
          <w:bCs/>
          <w:sz w:val="24"/>
          <w:szCs w:val="32"/>
        </w:rPr>
      </w:pPr>
      <w:r>
        <w:rPr>
          <w:rFonts w:hint="eastAsia" w:ascii="宋体" w:hAnsi="宋体" w:eastAsia="宋体" w:cs="宋体"/>
          <w:b/>
          <w:bCs/>
          <w:sz w:val="24"/>
          <w:szCs w:val="32"/>
          <w:lang w:val="en-US" w:eastAsia="zh-CN"/>
        </w:rPr>
        <w:t>1.</w:t>
      </w:r>
      <w:r>
        <w:rPr>
          <w:rFonts w:hint="eastAsia" w:ascii="宋体" w:hAnsi="宋体" w:eastAsia="宋体" w:cs="宋体"/>
          <w:b/>
          <w:bCs/>
          <w:sz w:val="24"/>
          <w:szCs w:val="32"/>
        </w:rPr>
        <w:t>学术学位</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jc w:val="both"/>
        <w:textAlignment w:val="auto"/>
        <w:rPr>
          <w:rFonts w:hint="eastAsia" w:ascii="宋体" w:hAnsi="宋体" w:eastAsia="宋体" w:cs="宋体"/>
          <w:b/>
          <w:bCs/>
          <w:sz w:val="24"/>
          <w:szCs w:val="32"/>
        </w:rPr>
      </w:pPr>
      <w:r>
        <w:rPr>
          <w:rFonts w:ascii="宋体" w:hAnsi="宋体" w:eastAsia="宋体" w:cs="宋体"/>
          <w:sz w:val="24"/>
          <w:szCs w:val="24"/>
        </w:rPr>
        <w:drawing>
          <wp:inline distT="0" distB="0" distL="114300" distR="114300">
            <wp:extent cx="6248400" cy="31527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248400" cy="3152775"/>
                    </a:xfrm>
                    <a:prstGeom prst="rect">
                      <a:avLst/>
                    </a:prstGeom>
                    <a:noFill/>
                    <a:ln w="9525">
                      <a:noFill/>
                    </a:ln>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jc w:val="both"/>
        <w:textAlignment w:val="auto"/>
        <w:rPr>
          <w:rFonts w:hint="eastAsia" w:ascii="宋体" w:hAnsi="宋体" w:eastAsia="宋体" w:cs="宋体"/>
          <w:b/>
          <w:bCs/>
          <w:sz w:val="24"/>
          <w:szCs w:val="32"/>
        </w:rPr>
      </w:pPr>
      <w:r>
        <w:rPr>
          <w:rFonts w:hint="eastAsia" w:ascii="宋体" w:hAnsi="宋体" w:eastAsia="宋体" w:cs="宋体"/>
          <w:b/>
          <w:bCs/>
          <w:sz w:val="24"/>
          <w:szCs w:val="32"/>
        </w:rPr>
        <w:t>2．专业学位</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jc w:val="both"/>
        <w:textAlignment w:val="auto"/>
        <w:rPr>
          <w:rFonts w:hint="eastAsia" w:ascii="宋体" w:hAnsi="宋体" w:eastAsia="宋体" w:cs="宋体"/>
          <w:b/>
          <w:bCs/>
          <w:sz w:val="24"/>
          <w:szCs w:val="32"/>
        </w:rPr>
      </w:pPr>
      <w:r>
        <w:rPr>
          <w:rFonts w:ascii="宋体" w:hAnsi="宋体" w:eastAsia="宋体" w:cs="宋体"/>
          <w:sz w:val="24"/>
          <w:szCs w:val="24"/>
        </w:rPr>
        <w:drawing>
          <wp:inline distT="0" distB="0" distL="114300" distR="114300">
            <wp:extent cx="6181725" cy="9210675"/>
            <wp:effectExtent l="0" t="0" r="9525"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6181725" cy="9210675"/>
                    </a:xfrm>
                    <a:prstGeom prst="rect">
                      <a:avLst/>
                    </a:prstGeom>
                    <a:noFill/>
                    <a:ln w="9525">
                      <a:noFill/>
                    </a:ln>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val="0"/>
          <w:bCs w:val="0"/>
          <w:color w:val="FF0000"/>
          <w:sz w:val="24"/>
          <w:szCs w:val="32"/>
        </w:rPr>
      </w:pPr>
      <w:r>
        <w:rPr>
          <w:rFonts w:hint="eastAsia" w:ascii="宋体" w:hAnsi="宋体" w:eastAsia="宋体" w:cs="宋体"/>
          <w:b/>
          <w:bCs/>
          <w:sz w:val="24"/>
          <w:szCs w:val="32"/>
        </w:rPr>
        <w:t xml:space="preserve"> </w:t>
      </w:r>
      <w:r>
        <w:rPr>
          <w:rFonts w:hint="eastAsia" w:ascii="宋体" w:hAnsi="宋体" w:eastAsia="宋体" w:cs="宋体"/>
          <w:b w:val="0"/>
          <w:bCs w:val="0"/>
          <w:color w:val="FF0000"/>
          <w:sz w:val="24"/>
          <w:szCs w:val="32"/>
        </w:rPr>
        <w:t xml:space="preserve"> 未达到以上复试基本分数要求的考生不具备我校复试（含调剂复试）资格。</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color w:val="FF0000"/>
          <w:sz w:val="24"/>
          <w:szCs w:val="32"/>
        </w:rPr>
      </w:pPr>
      <w:r>
        <w:rPr>
          <w:rFonts w:hint="eastAsia" w:ascii="宋体" w:hAnsi="宋体" w:eastAsia="宋体" w:cs="宋体"/>
          <w:b w:val="0"/>
          <w:bCs w:val="0"/>
          <w:color w:val="FF0000"/>
          <w:sz w:val="24"/>
          <w:szCs w:val="32"/>
        </w:rPr>
        <w:t xml:space="preserve">  各院系在学校复试基本分数要求的基础上，可结合生源和招生计划等情况，确定考生进入复试的初试成绩要求。考生须达到院系划定的分数线才能进入复试。</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jc w:val="both"/>
        <w:textAlignment w:val="auto"/>
        <w:rPr>
          <w:rFonts w:hint="eastAsia" w:ascii="宋体" w:hAnsi="宋体" w:eastAsia="宋体" w:cs="宋体"/>
          <w:b/>
          <w:bCs/>
          <w:sz w:val="24"/>
          <w:szCs w:val="32"/>
        </w:rPr>
      </w:pPr>
      <w:r>
        <w:rPr>
          <w:rFonts w:hint="eastAsia" w:ascii="宋体" w:hAnsi="宋体" w:eastAsia="宋体" w:cs="宋体"/>
          <w:b/>
          <w:bCs/>
          <w:sz w:val="24"/>
          <w:szCs w:val="32"/>
        </w:rPr>
        <w:t>3．专项计划分数线</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jc w:val="both"/>
        <w:textAlignment w:val="auto"/>
        <w:rPr>
          <w:rFonts w:hint="eastAsia" w:ascii="宋体" w:hAnsi="宋体" w:eastAsia="宋体" w:cs="宋体"/>
          <w:b/>
          <w:bCs/>
          <w:sz w:val="24"/>
          <w:szCs w:val="32"/>
        </w:rPr>
      </w:pPr>
      <w:r>
        <w:rPr>
          <w:rFonts w:ascii="宋体" w:hAnsi="宋体" w:eastAsia="宋体" w:cs="宋体"/>
          <w:sz w:val="24"/>
          <w:szCs w:val="24"/>
        </w:rPr>
        <w:drawing>
          <wp:inline distT="0" distB="0" distL="114300" distR="114300">
            <wp:extent cx="6419850" cy="24003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6419850" cy="2400300"/>
                    </a:xfrm>
                    <a:prstGeom prst="rect">
                      <a:avLst/>
                    </a:prstGeom>
                    <a:noFill/>
                    <a:ln w="9525">
                      <a:noFill/>
                    </a:ln>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jc w:val="both"/>
        <w:textAlignment w:val="auto"/>
        <w:rPr>
          <w:rFonts w:hint="eastAsia" w:ascii="宋体" w:hAnsi="宋体" w:eastAsia="宋体" w:cs="宋体"/>
          <w:b/>
          <w:bCs/>
          <w:sz w:val="24"/>
          <w:szCs w:val="32"/>
        </w:rPr>
      </w:pPr>
      <w:r>
        <w:rPr>
          <w:rFonts w:hint="eastAsia" w:ascii="宋体" w:hAnsi="宋体" w:eastAsia="宋体" w:cs="宋体"/>
          <w:b/>
          <w:bCs/>
          <w:sz w:val="24"/>
          <w:szCs w:val="32"/>
        </w:rPr>
        <w:t>4．少数民族骨干计划（分省）分数线</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jc w:val="both"/>
        <w:textAlignment w:val="auto"/>
        <w:rPr>
          <w:rFonts w:hint="eastAsia" w:ascii="宋体" w:hAnsi="宋体" w:eastAsia="宋体" w:cs="宋体"/>
          <w:b/>
          <w:bCs/>
          <w:sz w:val="24"/>
          <w:szCs w:val="32"/>
        </w:rPr>
      </w:pPr>
      <w:r>
        <w:rPr>
          <w:rFonts w:ascii="宋体" w:hAnsi="宋体" w:eastAsia="宋体" w:cs="宋体"/>
          <w:sz w:val="24"/>
          <w:szCs w:val="24"/>
        </w:rPr>
        <w:drawing>
          <wp:inline distT="0" distB="0" distL="114300" distR="114300">
            <wp:extent cx="6172200" cy="4676775"/>
            <wp:effectExtent l="0" t="0" r="0"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6172200" cy="4676775"/>
                    </a:xfrm>
                    <a:prstGeom prst="rect">
                      <a:avLst/>
                    </a:prstGeom>
                    <a:noFill/>
                    <a:ln w="9525">
                      <a:noFill/>
                    </a:ln>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jc w:val="both"/>
        <w:textAlignment w:val="auto"/>
        <w:rPr>
          <w:rFonts w:hint="eastAsia" w:ascii="宋体" w:hAnsi="宋体" w:eastAsia="宋体" w:cs="宋体"/>
          <w:b/>
          <w:bCs/>
          <w:sz w:val="24"/>
          <w:szCs w:val="32"/>
        </w:rPr>
      </w:pPr>
      <w:r>
        <w:rPr>
          <w:rFonts w:hint="eastAsia" w:ascii="宋体" w:hAnsi="宋体" w:eastAsia="宋体" w:cs="宋体"/>
          <w:b/>
          <w:bCs/>
          <w:sz w:val="24"/>
          <w:szCs w:val="32"/>
        </w:rPr>
        <w:t>5．加分政策</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2" w:firstLineChars="200"/>
        <w:jc w:val="both"/>
        <w:textAlignment w:val="auto"/>
        <w:rPr>
          <w:rFonts w:hint="eastAsia" w:ascii="宋体" w:hAnsi="宋体" w:eastAsia="宋体" w:cs="宋体"/>
          <w:b w:val="0"/>
          <w:bCs w:val="0"/>
          <w:sz w:val="24"/>
          <w:szCs w:val="32"/>
        </w:rPr>
      </w:pPr>
      <w:r>
        <w:rPr>
          <w:rFonts w:hint="eastAsia" w:ascii="宋体" w:hAnsi="宋体" w:eastAsia="宋体" w:cs="宋体"/>
          <w:b/>
          <w:bCs/>
          <w:sz w:val="24"/>
          <w:szCs w:val="32"/>
        </w:rPr>
        <w:t xml:space="preserve">  </w:t>
      </w:r>
      <w:r>
        <w:rPr>
          <w:rFonts w:hint="eastAsia" w:ascii="宋体" w:hAnsi="宋体" w:eastAsia="宋体" w:cs="宋体"/>
          <w:b w:val="0"/>
          <w:bCs w:val="0"/>
          <w:sz w:val="24"/>
          <w:szCs w:val="32"/>
        </w:rPr>
        <w:t xml:space="preserve"> 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高校学生应征入伍服现役退役，达到报考条件后，3年内参加全国硕士研究生招生考试的考生，初试总分加10分，同等条件下优先录取。</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参加“选聘高校毕业生到村任职”项目服务期满、考核称职以上的考生，3年内参加全国硕士研究生招生考试的，初试总分加10分，同等条件下优先录取，其中报考人文社科类专业研究生的，初试总分加15分。</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360" w:lineRule="auto"/>
        <w:ind w:firstLine="480" w:firstLineChars="200"/>
        <w:jc w:val="both"/>
        <w:textAlignment w:val="auto"/>
        <w:rPr>
          <w:rFonts w:hint="eastAsia" w:ascii="宋体" w:hAnsi="宋体" w:eastAsia="宋体" w:cs="宋体"/>
          <w:b w:val="0"/>
          <w:bCs w:val="0"/>
          <w:sz w:val="24"/>
          <w:szCs w:val="32"/>
        </w:rPr>
      </w:pPr>
      <w:r>
        <w:rPr>
          <w:rFonts w:hint="eastAsia" w:ascii="宋体" w:hAnsi="宋体" w:eastAsia="宋体" w:cs="宋体"/>
          <w:b w:val="0"/>
          <w:bCs w:val="0"/>
          <w:sz w:val="24"/>
          <w:szCs w:val="32"/>
        </w:rPr>
        <w:t xml:space="preserve">   加分项目不累计，同时满足两项以上加分条件的考生按最高项加分。各省级教育招生考试机构、各招生单位应严格规范执行硕士研究生招生考试的初试总分加分政策，除教育部统一规定的范围和标准外，不得擅自扩大范围、另设标准。招生单位应对加分项目考生提供的相关证明材料进行认真核实。</w:t>
      </w:r>
    </w:p>
    <w:sectPr>
      <w:pgSz w:w="11906" w:h="16838"/>
      <w:pgMar w:top="1440" w:right="8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9A3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2022-03-18T01:24:08Z</dcterms:created>
  <dc:creator>12345678</dc:creator>
  <cp:lastModifiedBy>李恒</cp:lastModifiedBy>
  <dcterms:modified xsi:type="dcterms:W3CDTF">2022-03-18T01:28:56Z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708D93C095DF4148AF49F216909F62FD</vt:lpwstr>
  </property>
</Properties>
</file>