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eastAsia="宋体" w:cs="宋体"/>
          <w:sz w:val="24"/>
          <w:szCs w:val="32"/>
        </w:rPr>
      </w:pPr>
      <w:r>
        <w:rPr>
          <w:rFonts w:hint="eastAsia" w:ascii="宋体" w:hAnsi="宋体" w:eastAsia="宋体" w:cs="宋体"/>
          <w:b/>
          <w:bCs/>
          <w:sz w:val="28"/>
          <w:szCs w:val="36"/>
        </w:rPr>
        <w:t>2022年电子科技大学外国语学院硕士研究生复试工作安排通知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2022年电子科技大学硕士研究生招生复试录取工作管理实施细则》和《2022年电子科技大学硕士研究生复试工作安排通知》有关规定要求，经本学院研究生招生工作领导小组研究决定，2022年本学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一、各专业复试分数线</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blLayout w:type="autofit"/>
        <w:tblCellMar>
          <w:top w:w="0" w:type="dxa"/>
          <w:left w:w="0" w:type="dxa"/>
          <w:bottom w:w="0" w:type="dxa"/>
          <w:right w:w="0" w:type="dxa"/>
        </w:tblCellMar>
      </w:tblPr>
      <w:tblGrid>
        <w:gridCol w:w="1260"/>
        <w:gridCol w:w="1440"/>
        <w:gridCol w:w="825"/>
        <w:gridCol w:w="750"/>
        <w:gridCol w:w="690"/>
        <w:gridCol w:w="705"/>
        <w:gridCol w:w="570"/>
        <w:gridCol w:w="1185"/>
        <w:gridCol w:w="2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blCellMar>
            <w:top w:w="0" w:type="dxa"/>
            <w:left w:w="0" w:type="dxa"/>
            <w:bottom w:w="0" w:type="dxa"/>
            <w:right w:w="0" w:type="dxa"/>
          </w:tblCellMar>
        </w:tblPrEx>
        <w:trPr>
          <w:trHeight w:val="567" w:hRule="atLeast"/>
          <w:jc w:val="center"/>
        </w:trPr>
        <w:tc>
          <w:tcPr>
            <w:tcW w:w="2700" w:type="dxa"/>
            <w:gridSpan w:val="2"/>
            <w:tcBorders>
              <w:top w:val="single" w:color="auto" w:sz="6" w:space="0"/>
              <w:left w:val="single" w:color="auto" w:sz="6" w:space="0"/>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专业</w:t>
            </w:r>
          </w:p>
        </w:tc>
        <w:tc>
          <w:tcPr>
            <w:tcW w:w="825" w:type="dxa"/>
            <w:tcBorders>
              <w:top w:val="single" w:color="auto" w:sz="6" w:space="0"/>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第一单元</w:t>
            </w:r>
          </w:p>
        </w:tc>
        <w:tc>
          <w:tcPr>
            <w:tcW w:w="750" w:type="dxa"/>
            <w:tcBorders>
              <w:top w:val="single" w:color="auto" w:sz="6" w:space="0"/>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第二单元</w:t>
            </w:r>
          </w:p>
        </w:tc>
        <w:tc>
          <w:tcPr>
            <w:tcW w:w="690" w:type="dxa"/>
            <w:tcBorders>
              <w:top w:val="single" w:color="auto" w:sz="6" w:space="0"/>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第三单元</w:t>
            </w:r>
          </w:p>
        </w:tc>
        <w:tc>
          <w:tcPr>
            <w:tcW w:w="705" w:type="dxa"/>
            <w:tcBorders>
              <w:top w:val="single" w:color="auto" w:sz="6" w:space="0"/>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第四单元</w:t>
            </w:r>
          </w:p>
        </w:tc>
        <w:tc>
          <w:tcPr>
            <w:tcW w:w="570" w:type="dxa"/>
            <w:tcBorders>
              <w:top w:val="single" w:color="auto" w:sz="6" w:space="0"/>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总分</w:t>
            </w:r>
          </w:p>
        </w:tc>
        <w:tc>
          <w:tcPr>
            <w:tcW w:w="1185" w:type="dxa"/>
            <w:tcBorders>
              <w:top w:val="single" w:color="auto" w:sz="6" w:space="0"/>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拟公开招考人数</w:t>
            </w:r>
          </w:p>
        </w:tc>
        <w:tc>
          <w:tcPr>
            <w:tcW w:w="2213" w:type="dxa"/>
            <w:tcBorders>
              <w:top w:val="single" w:color="auto" w:sz="6" w:space="0"/>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blCellMar>
            <w:top w:w="0" w:type="dxa"/>
            <w:left w:w="0" w:type="dxa"/>
            <w:bottom w:w="0" w:type="dxa"/>
            <w:right w:w="0" w:type="dxa"/>
          </w:tblCellMar>
        </w:tblPrEx>
        <w:trPr>
          <w:trHeight w:val="1458" w:hRule="atLeast"/>
          <w:jc w:val="center"/>
        </w:trPr>
        <w:tc>
          <w:tcPr>
            <w:tcW w:w="1260" w:type="dxa"/>
            <w:tcBorders>
              <w:top w:val="nil"/>
              <w:left w:val="single" w:color="auto" w:sz="6" w:space="0"/>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050200</w:t>
            </w:r>
          </w:p>
        </w:tc>
        <w:tc>
          <w:tcPr>
            <w:tcW w:w="1440" w:type="dxa"/>
            <w:tcBorders>
              <w:top w:val="nil"/>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外国语言文学</w:t>
            </w:r>
          </w:p>
        </w:tc>
        <w:tc>
          <w:tcPr>
            <w:tcW w:w="825" w:type="dxa"/>
            <w:tcBorders>
              <w:top w:val="nil"/>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60</w:t>
            </w:r>
          </w:p>
        </w:tc>
        <w:tc>
          <w:tcPr>
            <w:tcW w:w="750" w:type="dxa"/>
            <w:tcBorders>
              <w:top w:val="nil"/>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60</w:t>
            </w:r>
          </w:p>
        </w:tc>
        <w:tc>
          <w:tcPr>
            <w:tcW w:w="690" w:type="dxa"/>
            <w:tcBorders>
              <w:top w:val="nil"/>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90</w:t>
            </w:r>
          </w:p>
        </w:tc>
        <w:tc>
          <w:tcPr>
            <w:tcW w:w="705" w:type="dxa"/>
            <w:tcBorders>
              <w:top w:val="nil"/>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90</w:t>
            </w:r>
          </w:p>
        </w:tc>
        <w:tc>
          <w:tcPr>
            <w:tcW w:w="570" w:type="dxa"/>
            <w:tcBorders>
              <w:top w:val="nil"/>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370</w:t>
            </w:r>
          </w:p>
        </w:tc>
        <w:tc>
          <w:tcPr>
            <w:tcW w:w="1185" w:type="dxa"/>
            <w:tcBorders>
              <w:top w:val="nil"/>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25（其中英语语种21、日语语种4）</w:t>
            </w:r>
          </w:p>
        </w:tc>
        <w:tc>
          <w:tcPr>
            <w:tcW w:w="2213" w:type="dxa"/>
            <w:tcBorders>
              <w:top w:val="nil"/>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含1名退役大学生士兵计划、1名中山学院联合培养(均为英语语种）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blCellMar>
            <w:top w:w="0" w:type="dxa"/>
            <w:left w:w="0" w:type="dxa"/>
            <w:bottom w:w="0" w:type="dxa"/>
            <w:right w:w="0" w:type="dxa"/>
          </w:tblCellMar>
        </w:tblPrEx>
        <w:trPr>
          <w:trHeight w:val="759" w:hRule="atLeast"/>
          <w:jc w:val="center"/>
        </w:trPr>
        <w:tc>
          <w:tcPr>
            <w:tcW w:w="1260" w:type="dxa"/>
            <w:tcBorders>
              <w:top w:val="nil"/>
              <w:left w:val="single" w:color="auto" w:sz="6" w:space="0"/>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055100</w:t>
            </w:r>
          </w:p>
        </w:tc>
        <w:tc>
          <w:tcPr>
            <w:tcW w:w="1440" w:type="dxa"/>
            <w:tcBorders>
              <w:top w:val="nil"/>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翻译(全日制)</w:t>
            </w:r>
          </w:p>
        </w:tc>
        <w:tc>
          <w:tcPr>
            <w:tcW w:w="825" w:type="dxa"/>
            <w:tcBorders>
              <w:top w:val="nil"/>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56</w:t>
            </w:r>
          </w:p>
        </w:tc>
        <w:tc>
          <w:tcPr>
            <w:tcW w:w="750" w:type="dxa"/>
            <w:tcBorders>
              <w:top w:val="nil"/>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56</w:t>
            </w:r>
          </w:p>
        </w:tc>
        <w:tc>
          <w:tcPr>
            <w:tcW w:w="690" w:type="dxa"/>
            <w:tcBorders>
              <w:top w:val="nil"/>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84</w:t>
            </w:r>
          </w:p>
        </w:tc>
        <w:tc>
          <w:tcPr>
            <w:tcW w:w="705" w:type="dxa"/>
            <w:tcBorders>
              <w:top w:val="nil"/>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84</w:t>
            </w:r>
          </w:p>
        </w:tc>
        <w:tc>
          <w:tcPr>
            <w:tcW w:w="570" w:type="dxa"/>
            <w:tcBorders>
              <w:top w:val="nil"/>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367</w:t>
            </w:r>
          </w:p>
        </w:tc>
        <w:tc>
          <w:tcPr>
            <w:tcW w:w="1185" w:type="dxa"/>
            <w:tcBorders>
              <w:top w:val="nil"/>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33</w:t>
            </w:r>
          </w:p>
        </w:tc>
        <w:tc>
          <w:tcPr>
            <w:tcW w:w="2213" w:type="dxa"/>
            <w:tcBorders>
              <w:top w:val="nil"/>
              <w:left w:val="nil"/>
              <w:bottom w:val="single" w:color="auto" w:sz="6" w:space="0"/>
              <w:right w:val="single" w:color="auto" w:sz="6" w:space="0"/>
            </w:tcBorders>
            <w:shd w:val="clear" w:color="auto" w:fill="F1F1F1"/>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宋体" w:hAnsi="宋体" w:eastAsia="宋体" w:cs="宋体"/>
                <w:i w:val="0"/>
                <w:iCs w:val="0"/>
                <w:caps w:val="0"/>
                <w:color w:val="787878"/>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60" w:type="dxa"/>
            <w:tcBorders>
              <w:top w:val="nil"/>
              <w:left w:val="single" w:color="auto" w:sz="6" w:space="0"/>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055100</w:t>
            </w:r>
          </w:p>
        </w:tc>
        <w:tc>
          <w:tcPr>
            <w:tcW w:w="1440" w:type="dxa"/>
            <w:tcBorders>
              <w:top w:val="nil"/>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翻译(非全日制)</w:t>
            </w:r>
          </w:p>
        </w:tc>
        <w:tc>
          <w:tcPr>
            <w:tcW w:w="825" w:type="dxa"/>
            <w:tcBorders>
              <w:top w:val="nil"/>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56</w:t>
            </w:r>
          </w:p>
        </w:tc>
        <w:tc>
          <w:tcPr>
            <w:tcW w:w="750" w:type="dxa"/>
            <w:tcBorders>
              <w:top w:val="nil"/>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56</w:t>
            </w:r>
          </w:p>
        </w:tc>
        <w:tc>
          <w:tcPr>
            <w:tcW w:w="690" w:type="dxa"/>
            <w:tcBorders>
              <w:top w:val="nil"/>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84</w:t>
            </w:r>
          </w:p>
        </w:tc>
        <w:tc>
          <w:tcPr>
            <w:tcW w:w="705" w:type="dxa"/>
            <w:tcBorders>
              <w:top w:val="nil"/>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84</w:t>
            </w:r>
          </w:p>
        </w:tc>
        <w:tc>
          <w:tcPr>
            <w:tcW w:w="570" w:type="dxa"/>
            <w:tcBorders>
              <w:top w:val="nil"/>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367</w:t>
            </w:r>
          </w:p>
        </w:tc>
        <w:tc>
          <w:tcPr>
            <w:tcW w:w="1185" w:type="dxa"/>
            <w:tcBorders>
              <w:top w:val="nil"/>
              <w:left w:val="nil"/>
              <w:bottom w:val="single" w:color="auto" w:sz="6" w:space="0"/>
              <w:right w:val="single" w:color="auto" w:sz="6" w:space="0"/>
            </w:tcBorders>
            <w:shd w:val="clear" w:color="auto" w:fill="F1F1F1"/>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240" w:lineRule="auto"/>
              <w:ind w:left="0" w:right="0"/>
              <w:jc w:val="center"/>
              <w:textAlignment w:val="baseline"/>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vertAlign w:val="baseline"/>
              </w:rPr>
              <w:t>4</w:t>
            </w:r>
          </w:p>
        </w:tc>
        <w:tc>
          <w:tcPr>
            <w:tcW w:w="2213" w:type="dxa"/>
            <w:tcBorders>
              <w:top w:val="nil"/>
              <w:left w:val="nil"/>
              <w:bottom w:val="single" w:color="auto" w:sz="6" w:space="0"/>
              <w:right w:val="single" w:color="auto" w:sz="6" w:space="0"/>
            </w:tcBorders>
            <w:shd w:val="clear" w:color="auto" w:fill="F1F1F1"/>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baseline"/>
              <w:rPr>
                <w:rFonts w:hint="eastAsia" w:ascii="宋体" w:hAnsi="宋体" w:eastAsia="宋体" w:cs="宋体"/>
                <w:i w:val="0"/>
                <w:iCs w:val="0"/>
                <w:caps w:val="0"/>
                <w:color w:val="787878"/>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复试名单于资格审核后在学院网站公布。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强军计划、少数民族骨干计划、退役大学生士兵计划等专项计划以学校公布的分数线为准。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实际录取人数可根据生源情况适当调整。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二、复试时间安排</w:t>
      </w:r>
    </w:p>
    <w:tbl>
      <w:tblPr>
        <w:tblW w:w="97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blLayout w:type="autofit"/>
        <w:tblCellMar>
          <w:top w:w="0" w:type="dxa"/>
          <w:left w:w="0" w:type="dxa"/>
          <w:bottom w:w="0" w:type="dxa"/>
          <w:right w:w="0" w:type="dxa"/>
        </w:tblCellMar>
      </w:tblPr>
      <w:tblGrid>
        <w:gridCol w:w="2132"/>
        <w:gridCol w:w="1072"/>
        <w:gridCol w:w="1536"/>
        <w:gridCol w:w="5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blPrEx>
        <w:trPr>
          <w:trHeight w:val="405" w:hRule="atLeast"/>
          <w:jc w:val="center"/>
        </w:trPr>
        <w:tc>
          <w:tcPr>
            <w:tcW w:w="23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时间</w:t>
            </w:r>
          </w:p>
        </w:tc>
        <w:tc>
          <w:tcPr>
            <w:tcW w:w="11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平台</w:t>
            </w:r>
          </w:p>
        </w:tc>
        <w:tc>
          <w:tcPr>
            <w:tcW w:w="1680"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事项</w:t>
            </w:r>
          </w:p>
        </w:tc>
        <w:tc>
          <w:tcPr>
            <w:tcW w:w="4605"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具体要求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blCellMar>
            <w:top w:w="0" w:type="dxa"/>
            <w:left w:w="0" w:type="dxa"/>
            <w:bottom w:w="0" w:type="dxa"/>
            <w:right w:w="0" w:type="dxa"/>
          </w:tblCellMar>
        </w:tblPrEx>
        <w:trPr>
          <w:jc w:val="center"/>
        </w:trPr>
        <w:tc>
          <w:tcPr>
            <w:tcW w:w="23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3月19日-3月21日18:00截止</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校研招网</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复试信息确认</w:t>
            </w:r>
          </w:p>
        </w:tc>
        <w:tc>
          <w:tcPr>
            <w:tcW w:w="460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1. 见《2022年电子科技大学硕士研究生复试录取工作安排通知》。考生登录电子科技大学研究生招生管理信息系统进行复试信息确认。（</w:t>
            </w:r>
            <w:r>
              <w:rPr>
                <w:rFonts w:hint="eastAsia" w:ascii="宋体" w:hAnsi="宋体" w:eastAsia="宋体" w:cs="宋体"/>
                <w:i w:val="0"/>
                <w:iCs w:val="0"/>
                <w:caps w:val="0"/>
                <w:color w:val="C41D23"/>
                <w:spacing w:val="0"/>
                <w:sz w:val="24"/>
                <w:szCs w:val="24"/>
                <w:u w:val="none"/>
                <w:bdr w:val="none" w:color="auto" w:sz="0" w:space="0"/>
                <w:vertAlign w:val="baseline"/>
              </w:rPr>
              <w:fldChar w:fldCharType="begin"/>
            </w:r>
            <w:r>
              <w:rPr>
                <w:rFonts w:hint="eastAsia" w:ascii="宋体" w:hAnsi="宋体" w:eastAsia="宋体" w:cs="宋体"/>
                <w:i w:val="0"/>
                <w:iCs w:val="0"/>
                <w:caps w:val="0"/>
                <w:color w:val="C41D23"/>
                <w:spacing w:val="0"/>
                <w:sz w:val="24"/>
                <w:szCs w:val="24"/>
                <w:u w:val="none"/>
                <w:bdr w:val="none" w:color="auto" w:sz="0" w:space="0"/>
                <w:vertAlign w:val="baseline"/>
              </w:rPr>
              <w:instrText xml:space="preserve"> HYPERLINK "http://zsgl.uestc.edu.cn/ksxt/login.aspx" </w:instrText>
            </w:r>
            <w:r>
              <w:rPr>
                <w:rFonts w:hint="eastAsia" w:ascii="宋体" w:hAnsi="宋体" w:eastAsia="宋体" w:cs="宋体"/>
                <w:i w:val="0"/>
                <w:iCs w:val="0"/>
                <w:caps w:val="0"/>
                <w:color w:val="C41D23"/>
                <w:spacing w:val="0"/>
                <w:sz w:val="24"/>
                <w:szCs w:val="24"/>
                <w:u w:val="none"/>
                <w:bdr w:val="none" w:color="auto" w:sz="0" w:space="0"/>
                <w:vertAlign w:val="baseline"/>
              </w:rPr>
              <w:fldChar w:fldCharType="separate"/>
            </w:r>
            <w:r>
              <w:rPr>
                <w:rStyle w:val="6"/>
                <w:rFonts w:hint="eastAsia" w:ascii="宋体" w:hAnsi="宋体" w:eastAsia="宋体" w:cs="宋体"/>
                <w:i w:val="0"/>
                <w:iCs w:val="0"/>
                <w:caps w:val="0"/>
                <w:color w:val="C41D23"/>
                <w:spacing w:val="0"/>
                <w:sz w:val="24"/>
                <w:szCs w:val="24"/>
                <w:u w:val="none"/>
                <w:bdr w:val="none" w:color="auto" w:sz="0" w:space="0"/>
                <w:vertAlign w:val="baseline"/>
              </w:rPr>
              <w:t>http://zsgl.uestc.edu.cn/ksxt/login.aspx</w:t>
            </w:r>
            <w:r>
              <w:rPr>
                <w:rFonts w:hint="eastAsia" w:ascii="宋体" w:hAnsi="宋体" w:eastAsia="宋体" w:cs="宋体"/>
                <w:i w:val="0"/>
                <w:iCs w:val="0"/>
                <w:caps w:val="0"/>
                <w:color w:val="C41D23"/>
                <w:spacing w:val="0"/>
                <w:sz w:val="24"/>
                <w:szCs w:val="24"/>
                <w:u w:val="none"/>
                <w:bdr w:val="none" w:color="auto" w:sz="0" w:space="0"/>
                <w:vertAlign w:val="baseline"/>
              </w:rPr>
              <w:fldChar w:fldCharType="end"/>
            </w:r>
            <w:r>
              <w:rPr>
                <w:rFonts w:hint="eastAsia" w:ascii="宋体" w:hAnsi="宋体" w:eastAsia="宋体" w:cs="宋体"/>
                <w:i w:val="0"/>
                <w:iCs w:val="0"/>
                <w:caps w:val="0"/>
                <w:color w:val="333333"/>
                <w:spacing w:val="0"/>
                <w:sz w:val="22"/>
                <w:szCs w:val="22"/>
                <w:bdr w:val="none" w:color="auto" w:sz="0" w:space="0"/>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2. 须在3月21日18:00前完成报名、缴费，过期视为自动放弃复试。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blCellMar>
            <w:top w:w="0" w:type="dxa"/>
            <w:left w:w="0" w:type="dxa"/>
            <w:bottom w:w="0" w:type="dxa"/>
            <w:right w:w="0" w:type="dxa"/>
          </w:tblCellMar>
        </w:tblPrEx>
        <w:trPr>
          <w:jc w:val="center"/>
        </w:trPr>
        <w:tc>
          <w:tcPr>
            <w:tcW w:w="23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3月21日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18:00截止</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飞书平台</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复试资格审查材料上传</w:t>
            </w:r>
          </w:p>
        </w:tc>
        <w:tc>
          <w:tcPr>
            <w:tcW w:w="460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见本通知中“四、考生提交的材料内容”要求，考生可上传其他补充材料(不超过5页）：个人简历、大学学习成绩单、毕业论文（设计）（仅摘要）、研究成果、专家推荐信等。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blCellMar>
            <w:top w:w="0" w:type="dxa"/>
            <w:left w:w="0" w:type="dxa"/>
            <w:bottom w:w="0" w:type="dxa"/>
            <w:right w:w="0" w:type="dxa"/>
          </w:tblCellMar>
        </w:tblPrEx>
        <w:trPr>
          <w:jc w:val="center"/>
        </w:trPr>
        <w:tc>
          <w:tcPr>
            <w:tcW w:w="23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3月21日-3月22日</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飞书平台</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学院进行线上资格审核</w:t>
            </w:r>
          </w:p>
        </w:tc>
        <w:tc>
          <w:tcPr>
            <w:tcW w:w="460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请务必保持手机畅通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blCellMar>
            <w:top w:w="0" w:type="dxa"/>
            <w:left w:w="0" w:type="dxa"/>
            <w:bottom w:w="0" w:type="dxa"/>
            <w:right w:w="0" w:type="dxa"/>
          </w:tblCellMar>
        </w:tblPrEx>
        <w:trPr>
          <w:jc w:val="center"/>
        </w:trPr>
        <w:tc>
          <w:tcPr>
            <w:tcW w:w="23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3月23日</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学院网站</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公布复试名单</w:t>
            </w:r>
          </w:p>
        </w:tc>
        <w:tc>
          <w:tcPr>
            <w:tcW w:w="460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C41D23"/>
                <w:spacing w:val="0"/>
                <w:sz w:val="24"/>
                <w:szCs w:val="24"/>
                <w:u w:val="none"/>
                <w:bdr w:val="none" w:color="auto" w:sz="0" w:space="0"/>
                <w:vertAlign w:val="baseline"/>
              </w:rPr>
              <w:fldChar w:fldCharType="begin"/>
            </w:r>
            <w:r>
              <w:rPr>
                <w:rFonts w:hint="eastAsia" w:ascii="宋体" w:hAnsi="宋体" w:eastAsia="宋体" w:cs="宋体"/>
                <w:i w:val="0"/>
                <w:iCs w:val="0"/>
                <w:caps w:val="0"/>
                <w:color w:val="C41D23"/>
                <w:spacing w:val="0"/>
                <w:sz w:val="24"/>
                <w:szCs w:val="24"/>
                <w:u w:val="none"/>
                <w:bdr w:val="none" w:color="auto" w:sz="0" w:space="0"/>
                <w:vertAlign w:val="baseline"/>
              </w:rPr>
              <w:instrText xml:space="preserve"> HYPERLINK "http://www.fl.uestc.edu.cn/" </w:instrText>
            </w:r>
            <w:r>
              <w:rPr>
                <w:rFonts w:hint="eastAsia" w:ascii="宋体" w:hAnsi="宋体" w:eastAsia="宋体" w:cs="宋体"/>
                <w:i w:val="0"/>
                <w:iCs w:val="0"/>
                <w:caps w:val="0"/>
                <w:color w:val="C41D23"/>
                <w:spacing w:val="0"/>
                <w:sz w:val="24"/>
                <w:szCs w:val="24"/>
                <w:u w:val="none"/>
                <w:bdr w:val="none" w:color="auto" w:sz="0" w:space="0"/>
                <w:vertAlign w:val="baseline"/>
              </w:rPr>
              <w:fldChar w:fldCharType="separate"/>
            </w:r>
            <w:r>
              <w:rPr>
                <w:rStyle w:val="6"/>
                <w:rFonts w:hint="eastAsia" w:ascii="宋体" w:hAnsi="宋体" w:eastAsia="宋体" w:cs="宋体"/>
                <w:i w:val="0"/>
                <w:iCs w:val="0"/>
                <w:caps w:val="0"/>
                <w:color w:val="C41D23"/>
                <w:spacing w:val="0"/>
                <w:sz w:val="24"/>
                <w:szCs w:val="24"/>
                <w:u w:val="none"/>
                <w:bdr w:val="none" w:color="auto" w:sz="0" w:space="0"/>
                <w:vertAlign w:val="baseline"/>
              </w:rPr>
              <w:t>http://www.fl.uestc.edu.cn/</w:t>
            </w:r>
            <w:r>
              <w:rPr>
                <w:rFonts w:hint="eastAsia" w:ascii="宋体" w:hAnsi="宋体" w:eastAsia="宋体" w:cs="宋体"/>
                <w:i w:val="0"/>
                <w:iCs w:val="0"/>
                <w:caps w:val="0"/>
                <w:color w:val="C41D23"/>
                <w:spacing w:val="0"/>
                <w:sz w:val="24"/>
                <w:szCs w:val="24"/>
                <w:u w:val="none"/>
                <w:bdr w:val="none" w:color="auto" w:sz="0" w:space="0"/>
                <w:vertAlign w:val="baseli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blCellMar>
            <w:top w:w="0" w:type="dxa"/>
            <w:left w:w="0" w:type="dxa"/>
            <w:bottom w:w="0" w:type="dxa"/>
            <w:right w:w="0" w:type="dxa"/>
          </w:tblCellMar>
        </w:tblPrEx>
        <w:trPr>
          <w:jc w:val="center"/>
        </w:trPr>
        <w:tc>
          <w:tcPr>
            <w:tcW w:w="23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3月24日</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飞书平台</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模拟演练</w:t>
            </w:r>
          </w:p>
        </w:tc>
        <w:tc>
          <w:tcPr>
            <w:tcW w:w="460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考生熟悉飞书软件操作，测试网络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blCellMar>
            <w:top w:w="0" w:type="dxa"/>
            <w:left w:w="0" w:type="dxa"/>
            <w:bottom w:w="0" w:type="dxa"/>
            <w:right w:w="0" w:type="dxa"/>
          </w:tblCellMar>
        </w:tblPrEx>
        <w:trPr>
          <w:jc w:val="center"/>
        </w:trPr>
        <w:tc>
          <w:tcPr>
            <w:tcW w:w="23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3月25日</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飞书平台</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硕士研究生复试</w:t>
            </w:r>
          </w:p>
        </w:tc>
        <w:tc>
          <w:tcPr>
            <w:tcW w:w="460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见《2022年电子科技大学硕士研究生复试考生须知》。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blCellMar>
            <w:top w:w="0" w:type="dxa"/>
            <w:left w:w="0" w:type="dxa"/>
            <w:bottom w:w="0" w:type="dxa"/>
            <w:right w:w="0" w:type="dxa"/>
          </w:tblCellMar>
        </w:tblPrEx>
        <w:trPr>
          <w:jc w:val="center"/>
        </w:trPr>
        <w:tc>
          <w:tcPr>
            <w:tcW w:w="23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3月26日</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校研招网</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复试成绩及拟录取结果查询</w:t>
            </w:r>
          </w:p>
        </w:tc>
        <w:tc>
          <w:tcPr>
            <w:tcW w:w="460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0563C1"/>
                <w:spacing w:val="0"/>
                <w:sz w:val="22"/>
                <w:szCs w:val="22"/>
                <w:bdr w:val="none" w:color="auto" w:sz="0" w:space="0"/>
                <w:vertAlign w:val="baseline"/>
              </w:rPr>
              <w:t>http://zsgl.uestc.edu.cn/ksxt/login.aspx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31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3月28日</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学院网站</w:t>
            </w:r>
          </w:p>
        </w:tc>
        <w:tc>
          <w:tcPr>
            <w:tcW w:w="1680"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333333"/>
                <w:spacing w:val="0"/>
                <w:sz w:val="22"/>
                <w:szCs w:val="22"/>
                <w:bdr w:val="none" w:color="auto" w:sz="0" w:space="0"/>
                <w:vertAlign w:val="baseline"/>
              </w:rPr>
              <w:t>公布拟录取名单</w:t>
            </w:r>
          </w:p>
        </w:tc>
        <w:tc>
          <w:tcPr>
            <w:tcW w:w="460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textAlignment w:val="baseline"/>
              <w:rPr>
                <w:rFonts w:hint="eastAsia" w:ascii="宋体" w:hAnsi="宋体" w:eastAsia="宋体" w:cs="宋体"/>
                <w:sz w:val="18"/>
                <w:szCs w:val="18"/>
              </w:rPr>
            </w:pPr>
            <w:r>
              <w:rPr>
                <w:rFonts w:hint="eastAsia" w:ascii="宋体" w:hAnsi="宋体" w:eastAsia="宋体" w:cs="宋体"/>
                <w:i w:val="0"/>
                <w:iCs w:val="0"/>
                <w:caps w:val="0"/>
                <w:color w:val="C41D23"/>
                <w:spacing w:val="0"/>
                <w:sz w:val="24"/>
                <w:szCs w:val="24"/>
                <w:u w:val="none"/>
                <w:bdr w:val="none" w:color="auto" w:sz="0" w:space="0"/>
                <w:vertAlign w:val="baseline"/>
              </w:rPr>
              <w:fldChar w:fldCharType="begin"/>
            </w:r>
            <w:r>
              <w:rPr>
                <w:rFonts w:hint="eastAsia" w:ascii="宋体" w:hAnsi="宋体" w:eastAsia="宋体" w:cs="宋体"/>
                <w:i w:val="0"/>
                <w:iCs w:val="0"/>
                <w:caps w:val="0"/>
                <w:color w:val="C41D23"/>
                <w:spacing w:val="0"/>
                <w:sz w:val="24"/>
                <w:szCs w:val="24"/>
                <w:u w:val="none"/>
                <w:bdr w:val="none" w:color="auto" w:sz="0" w:space="0"/>
                <w:vertAlign w:val="baseline"/>
              </w:rPr>
              <w:instrText xml:space="preserve"> HYPERLINK "http://www.fl.uestc.edu.cn/" </w:instrText>
            </w:r>
            <w:r>
              <w:rPr>
                <w:rFonts w:hint="eastAsia" w:ascii="宋体" w:hAnsi="宋体" w:eastAsia="宋体" w:cs="宋体"/>
                <w:i w:val="0"/>
                <w:iCs w:val="0"/>
                <w:caps w:val="0"/>
                <w:color w:val="C41D23"/>
                <w:spacing w:val="0"/>
                <w:sz w:val="24"/>
                <w:szCs w:val="24"/>
                <w:u w:val="none"/>
                <w:bdr w:val="none" w:color="auto" w:sz="0" w:space="0"/>
                <w:vertAlign w:val="baseline"/>
              </w:rPr>
              <w:fldChar w:fldCharType="separate"/>
            </w:r>
            <w:r>
              <w:rPr>
                <w:rStyle w:val="6"/>
                <w:rFonts w:hint="eastAsia" w:ascii="宋体" w:hAnsi="宋体" w:eastAsia="宋体" w:cs="宋体"/>
                <w:i w:val="0"/>
                <w:iCs w:val="0"/>
                <w:caps w:val="0"/>
                <w:color w:val="C41D23"/>
                <w:spacing w:val="0"/>
                <w:sz w:val="24"/>
                <w:szCs w:val="24"/>
                <w:u w:val="none"/>
                <w:bdr w:val="none" w:color="auto" w:sz="0" w:space="0"/>
                <w:vertAlign w:val="baseline"/>
              </w:rPr>
              <w:t>http://www.fl.uestc.edu.cn/</w:t>
            </w:r>
            <w:r>
              <w:rPr>
                <w:rFonts w:hint="eastAsia" w:ascii="宋体" w:hAnsi="宋体" w:eastAsia="宋体" w:cs="宋体"/>
                <w:i w:val="0"/>
                <w:iCs w:val="0"/>
                <w:caps w:val="0"/>
                <w:color w:val="C41D23"/>
                <w:spacing w:val="0"/>
                <w:sz w:val="24"/>
                <w:szCs w:val="24"/>
                <w:u w:val="none"/>
                <w:bdr w:val="none" w:color="auto" w:sz="0" w:space="0"/>
                <w:vertAlign w:val="baseline"/>
              </w:rPr>
              <w:fldChar w:fldCharType="end"/>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1.登录电子科技大学研究生招生管理信息系统：http://zsgl.uestc.edu.cn/ksxt/login.aspx，选择“复试信息确认”和“调剂申请”模块进行复试和调剂。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2．所有参加复试的考生，无论网上报名是否填报意向导师，都需要在复试系统中填报一位意向导师。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导师简介在下面两个网络链接中可以找到：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学校研招网导师介绍：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https://yjsjy.uestc.edu.cn/gmis/jcsjgl/dsfc</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外国语学院师资队伍：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https://www.fl.uestc.edu.cn/xygk/szdw.htm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3．考生网上交纳复试费120元（川发改价格[2017]467号），再自行打印复试通知单。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三、网络远程面试准备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按照《2022年电子科技大学硕士研究生网络远程复试考生操作指南》准备。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四、考生提交材料的内容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考生须在飞书软件平台，按时上传本人以下材料（材料要求均为【pdf格式】电子版）：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（1）《2022年电子科技大学硕士研究生招生诚信复试承诺书》（考生本人签字）；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（2）《全国硕士研究生招生考试准考证》（通过“中国研究生招生信息网”下载）；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（3）复试通知单（通过“电子科技大学研究生招生管理信息系统”下载）；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（4）应届本科毕业生（含成人教育、网络教育届时可毕业考生）提供学生证或《教育部学籍在线验证报告》；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自学考试届时可毕业本科生提供自考准考证、注册地自考办打印加盖公章的考生考籍表。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往届毕业生提供毕业证或《教育部学历证书电子注册备案表》；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在境外获得学历或学位证书的考生需提供教育部留学服务中心出具的《国外学历学位认证书》；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曾经更改过姓名或身份证号的考生，需提供户口本或公安机关开具的证明；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（5）考生可以提交的其他补充材料(不超过5页）：个人简历、大学学习成绩单、毕业论文（设计）（仅摘要）、研究成果、专家推荐信等；如提交补充材料，须本人在材料正面右下角签字确认后上传。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学院将对考生提交的上述材料进行严格审核，同时运用“人脸识别”“人证识别”等技术，综合比对“报考库”“学籍学历库”“人口信息库”“考生考试诚信档案库”，加强对考生身份的鉴别。凡弄虚作假者一律不予复试；资格审查不合格者不予复试。对提供虚假信息或材料，一经核实将取消其复试资格、录取资格、入学资格、学籍，直至取消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应届本科毕业生、自学考试和网络教育等届时可毕业本科生须在录取当年入学前（以学校当年开学报到时间为准）取得国家承认的本科毕业证或教育部留学服务中心出具的《国（境）外学历学位认证书》，否则录取资格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五、复试内容及流程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每个考生面试时间一般不少于20分钟。面试方式包括但不限于自我介绍、面试问答等具体形式。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(一)复试内容及成绩（满分300分）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（1）外语测试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分值：总分100分，总分四舍五入取整数。其中口语50%、听力50%。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（2）综合面试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分值：总分200分，总分四舍五入取整数。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（二）网络远程复试流程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（1）考生3分钟自我介绍（外语），介绍本人学习、科研、社会实践或实际工作表现等。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（2）外语能力考查：通过考官与考生外语交流、考生外语自我介绍、考官外语提问等多种形式考查。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知识、专业素质和能力考查：考生抽取专业知识题库中的试题回答（准备时间2分钟）。考官结合个人简历、大学学习成绩、毕业论文（设计）（摘要）、科研成果、专家推荐信等补充材料，提出专业相关问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我院全日制翻译（055100）专业、非全日制翻译（055100）专业接收调剂；具体调剂要求和安排学院另行发布，请关注学院网站后续调剂通知。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sz w:val="24"/>
          <w:szCs w:val="32"/>
        </w:rPr>
      </w:pPr>
      <w:r>
        <w:rPr>
          <w:rFonts w:hint="eastAsia" w:ascii="宋体" w:hAnsi="宋体" w:eastAsia="宋体" w:cs="宋体"/>
          <w:b/>
          <w:bCs/>
          <w:sz w:val="24"/>
          <w:szCs w:val="32"/>
        </w:rPr>
        <w:t>七、关于研究生联合培养项目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深入贯彻落实党中央、国务院关于深化产教融合改革部署、教育部关于深化专业学位研究生培养模式改革的要求，主动服务国家重大战略发展需求，积极对接集成电路、人工智能和网络安全等国家急需领域重点产业发展需求，围绕科教结合产教融合推进研究生联合培养基地建设，发挥学校电子信息学科优势，实施政府、高校、企业参与的协同育人新模式和新机制，我院部分招生计划设置为科教结合产教融合研究生联合培养项目招生计划，相关项目情况如下：</w:t>
      </w:r>
    </w:p>
    <w:tbl>
      <w:tblPr>
        <w:tblW w:w="8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blLayout w:type="autofit"/>
        <w:tblCellMar>
          <w:top w:w="0" w:type="dxa"/>
          <w:left w:w="0" w:type="dxa"/>
          <w:bottom w:w="0" w:type="dxa"/>
          <w:right w:w="0" w:type="dxa"/>
        </w:tblCellMar>
      </w:tblPr>
      <w:tblGrid>
        <w:gridCol w:w="5276"/>
        <w:gridCol w:w="1699"/>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blCellMar>
            <w:top w:w="0" w:type="dxa"/>
            <w:left w:w="0" w:type="dxa"/>
            <w:bottom w:w="0" w:type="dxa"/>
            <w:right w:w="0" w:type="dxa"/>
          </w:tblCellMar>
        </w:tblPrEx>
        <w:trPr>
          <w:trHeight w:val="450" w:hRule="atLeast"/>
          <w:jc w:val="center"/>
        </w:trPr>
        <w:tc>
          <w:tcPr>
            <w:tcW w:w="527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vertAlign w:val="baseline"/>
              </w:rPr>
              <w:t>项目名称</w:t>
            </w:r>
          </w:p>
        </w:tc>
        <w:tc>
          <w:tcPr>
            <w:tcW w:w="1699"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vertAlign w:val="baseline"/>
              </w:rPr>
              <w:t>招生专业</w:t>
            </w:r>
          </w:p>
        </w:tc>
        <w:tc>
          <w:tcPr>
            <w:tcW w:w="1245"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eastAsia" w:ascii="宋体" w:hAnsi="宋体" w:eastAsia="宋体" w:cs="宋体"/>
                <w:color w:val="auto"/>
                <w:sz w:val="24"/>
                <w:szCs w:val="24"/>
              </w:rPr>
            </w:pPr>
            <w:r>
              <w:rPr>
                <w:rStyle w:val="5"/>
                <w:rFonts w:hint="eastAsia" w:ascii="宋体" w:hAnsi="宋体" w:eastAsia="宋体" w:cs="宋体"/>
                <w:i w:val="0"/>
                <w:iCs w:val="0"/>
                <w:caps w:val="0"/>
                <w:color w:val="auto"/>
                <w:spacing w:val="0"/>
                <w:sz w:val="24"/>
                <w:szCs w:val="24"/>
                <w:bdr w:val="none" w:color="auto" w:sz="0" w:space="0"/>
                <w:vertAlign w:val="baseline"/>
              </w:rPr>
              <w:t>拟招人数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1F1F1"/>
          <w:tblCellMar>
            <w:top w:w="0" w:type="dxa"/>
            <w:left w:w="0" w:type="dxa"/>
            <w:bottom w:w="0" w:type="dxa"/>
            <w:right w:w="0" w:type="dxa"/>
          </w:tblCellMar>
        </w:tblPrEx>
        <w:trPr>
          <w:trHeight w:val="480" w:hRule="atLeast"/>
          <w:jc w:val="center"/>
        </w:trPr>
        <w:tc>
          <w:tcPr>
            <w:tcW w:w="5276"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vertAlign w:val="baseline"/>
              </w:rPr>
              <w:t>电子科技大学中山学院研究生联合培养项目</w:t>
            </w:r>
          </w:p>
        </w:tc>
        <w:tc>
          <w:tcPr>
            <w:tcW w:w="1699"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vertAlign w:val="baseline"/>
              </w:rPr>
              <w:t>外国语言文学</w:t>
            </w:r>
          </w:p>
        </w:tc>
        <w:tc>
          <w:tcPr>
            <w:tcW w:w="124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vertAlign w:val="baseline"/>
              </w:rPr>
              <w:t>1</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考生“复试信息确认”的时候须在系统中填报本人的研究生联合培养项目意向顺序。我院将按照考生总成绩从高到低的顺序，结合考生填报的项目意向和招生计划等要素安排拟录取考生的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有关项目详细信息可以查看《2022年电子科技大学硕士研究生联合培养项目报考指南》。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1．初试、复试成绩分别占总成绩的70%和30%，计算公式：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w:t>
      </w:r>
      <w:r>
        <w:drawing>
          <wp:inline distT="0" distB="0" distL="114300" distR="114300">
            <wp:extent cx="2266950" cy="4095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266950" cy="409575"/>
                    </a:xfrm>
                    <a:prstGeom prst="rect">
                      <a:avLst/>
                    </a:prstGeom>
                    <a:noFill/>
                    <a:ln>
                      <a:noFill/>
                    </a:ln>
                  </pic:spPr>
                </pic:pic>
              </a:graphicData>
            </a:graphic>
          </wp:inline>
        </w:drawing>
      </w:r>
      <w:r>
        <w:rPr>
          <w:rFonts w:hint="eastAsia" w:ascii="宋体" w:hAnsi="宋体" w:eastAsia="宋体" w:cs="宋体"/>
          <w:sz w:val="24"/>
          <w:szCs w:val="32"/>
        </w:rPr>
        <w:t>，总成绩四舍五入保留两位小数。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录取办法：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外国语言文学：分语种分别排序。以总成绩（初试+复试）从高到低依次择优录取，复试总分及单项成绩均达到满分的60%才能被录取；专项计划总分成绩达到满分60%。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翻译（全日制）、翻译（非全日制）：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录取优先顺序为：第一志愿、调剂。同一优先级按以总成绩（初试+复试）从高到低依次择优录取，非专项计划总分及单项成绩均达到满分的60%；专项计划总分成绩达到满分60%。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注：同一优先级按总成绩从高到低依次择优录取。若总成绩相同，依次比较初试总成绩、业务课二成绩、业务课一成绩、外国语成绩，从高到低择优录取。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复试成绩查询：学院复试成绩计划于3月26日在学校研究生招生管理信息系统中公布，成绩公布24小时内，学院研究生复试工作小组接受考生实名成绩复核申请，申请签字后扫描为PDF格式提交至学院研究生管理办公室邮箱：zhangxun@uestc.edu.cn。学院接到复核申请后48小时内向考生邮件回复复核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拟录取名单公示：拟录取考生名单将于3月28日在外国语学院官网通知公告栏目中公示，经公示、教育部录检合格后才确定为正式录取，并以录取通知书为准。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体检统一在拟录取后进行，具体见学院后续拟录取公示相关通知。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C4EA4"/>
    <w:rsid w:val="21454A36"/>
    <w:rsid w:val="457923BB"/>
    <w:rsid w:val="72D26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141</Words>
  <Characters>153</Characters>
  <Lines>0</Lines>
  <Paragraphs>0</Paragraphs>
  <TotalTime>4</TotalTime>
  <ScaleCrop>false</ScaleCrop>
  <LinksUpToDate>false</LinksUpToDate>
  <CharactersWithSpaces>153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2022-03-21T07:25:00Z</dcterms:created>
  <dc:creator>12345678</dc:creator>
  <cp:lastModifiedBy>李恒</cp:lastModifiedBy>
  <dcterms:modified xsi:type="dcterms:W3CDTF">2022-03-21T08:40:31Z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DE0C435AB09D4BD595D2336450EDA04C</vt:lpwstr>
  </property>
</Properties>
</file>