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2022年电子科技大学通信抗干扰实验室硕士研究生招生复试工作安排通知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 xml:space="preserve"> 根据《2022年电子科技大学硕士研究生招生复试录取工作管理实施细则》和《2022年电子科技大学硕士研究生复试工作安排通知》有关规定要求，经本实验室研究生招生工作领导小组研究决定，以此通知公布2022年本实验室硕士研究生招生复试计划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第一条       各专业复试分数线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本实验室各专业复试分数线如表1所示，具体复试入围办法说明如下。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（1）复试名单于资格审核后在实验室网站公布。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（2）强军计划、少数民族骨干计划、退役大学生士兵计划等专项计划以学校公布的分数线为准。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32"/>
        </w:rPr>
      </w:pPr>
      <w:r>
        <w:rPr>
          <w:rFonts w:hint="eastAsia" w:ascii="宋体" w:hAnsi="宋体" w:eastAsia="宋体" w:cs="宋体"/>
          <w:sz w:val="24"/>
          <w:szCs w:val="32"/>
        </w:rPr>
        <w:t>表1  复试分数线（单科及总分）</w:t>
      </w:r>
    </w:p>
    <w:tbl>
      <w:tblPr>
        <w:tblW w:w="9638"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1050"/>
        <w:gridCol w:w="2412"/>
        <w:gridCol w:w="752"/>
        <w:gridCol w:w="753"/>
        <w:gridCol w:w="753"/>
        <w:gridCol w:w="753"/>
        <w:gridCol w:w="753"/>
        <w:gridCol w:w="1056"/>
        <w:gridCol w:w="135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rPr>
          <w:trHeight w:val="567" w:hRule="atLeast"/>
          <w:jc w:val="center"/>
        </w:trPr>
        <w:tc>
          <w:tcPr>
            <w:tcW w:w="3256" w:type="dxa"/>
            <w:gridSpan w:val="2"/>
            <w:tcBorders>
              <w:top w:val="single" w:color="000000" w:sz="8" w:space="0"/>
              <w:left w:val="single" w:color="000000" w:sz="8" w:space="0"/>
              <w:bottom w:val="single" w:color="000000" w:sz="8" w:space="0"/>
              <w:right w:val="single" w:color="000000"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专业</w:t>
            </w:r>
          </w:p>
        </w:tc>
        <w:tc>
          <w:tcPr>
            <w:tcW w:w="708"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第一单元</w:t>
            </w:r>
          </w:p>
        </w:tc>
        <w:tc>
          <w:tcPr>
            <w:tcW w:w="709"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第二单元</w:t>
            </w:r>
          </w:p>
        </w:tc>
        <w:tc>
          <w:tcPr>
            <w:tcW w:w="709"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第三单元</w:t>
            </w:r>
          </w:p>
        </w:tc>
        <w:tc>
          <w:tcPr>
            <w:tcW w:w="709"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第四单元</w:t>
            </w:r>
          </w:p>
        </w:tc>
        <w:tc>
          <w:tcPr>
            <w:tcW w:w="708"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总分</w:t>
            </w:r>
          </w:p>
        </w:tc>
        <w:tc>
          <w:tcPr>
            <w:tcW w:w="993"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拟公开招考人数</w:t>
            </w:r>
          </w:p>
        </w:tc>
        <w:tc>
          <w:tcPr>
            <w:tcW w:w="1275"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88"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081000</w:t>
            </w:r>
          </w:p>
        </w:tc>
        <w:tc>
          <w:tcPr>
            <w:tcW w:w="227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信息与通信工程</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335</w:t>
            </w:r>
          </w:p>
        </w:tc>
        <w:tc>
          <w:tcPr>
            <w:tcW w:w="993"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38</w:t>
            </w:r>
          </w:p>
        </w:tc>
        <w:tc>
          <w:tcPr>
            <w:tcW w:w="1275" w:type="dxa"/>
            <w:tcBorders>
              <w:top w:val="nil"/>
              <w:left w:val="nil"/>
              <w:bottom w:val="single" w:color="auto" w:sz="8" w:space="0"/>
              <w:right w:val="single" w:color="auto" w:sz="8" w:space="0"/>
            </w:tcBorders>
            <w:shd w:val="clear"/>
            <w:tcMar>
              <w:left w:w="28" w:type="dxa"/>
              <w:right w:w="2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含1名强军计划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88"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083900</w:t>
            </w:r>
          </w:p>
        </w:tc>
        <w:tc>
          <w:tcPr>
            <w:tcW w:w="227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网络空间安全</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315</w:t>
            </w:r>
          </w:p>
        </w:tc>
        <w:tc>
          <w:tcPr>
            <w:tcW w:w="993"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2</w:t>
            </w:r>
          </w:p>
        </w:tc>
        <w:tc>
          <w:tcPr>
            <w:tcW w:w="1275" w:type="dxa"/>
            <w:tcBorders>
              <w:top w:val="nil"/>
              <w:left w:val="nil"/>
              <w:bottom w:val="single" w:color="auto" w:sz="8" w:space="0"/>
              <w:right w:val="single" w:color="auto" w:sz="8" w:space="0"/>
            </w:tcBorders>
            <w:shd w:val="clear"/>
            <w:tcMar>
              <w:left w:w="28" w:type="dxa"/>
              <w:right w:w="2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含1名退役大学生士兵计划</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88"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085400</w:t>
            </w:r>
          </w:p>
        </w:tc>
        <w:tc>
          <w:tcPr>
            <w:tcW w:w="227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电子信息 （全日制）</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325</w:t>
            </w:r>
          </w:p>
        </w:tc>
        <w:tc>
          <w:tcPr>
            <w:tcW w:w="993"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49</w:t>
            </w:r>
          </w:p>
        </w:tc>
        <w:tc>
          <w:tcPr>
            <w:tcW w:w="1275" w:type="dxa"/>
            <w:tcBorders>
              <w:top w:val="nil"/>
              <w:left w:val="nil"/>
              <w:bottom w:val="single" w:color="auto" w:sz="8" w:space="0"/>
              <w:right w:val="single" w:color="auto" w:sz="8" w:space="0"/>
            </w:tcBorders>
            <w:shd w:val="clear"/>
            <w:tcMar>
              <w:left w:w="28" w:type="dxa"/>
              <w:right w:w="2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88"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085400</w:t>
            </w:r>
          </w:p>
        </w:tc>
        <w:tc>
          <w:tcPr>
            <w:tcW w:w="2270"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电子信息（非全日制）</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50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9"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70</w:t>
            </w:r>
          </w:p>
        </w:tc>
        <w:tc>
          <w:tcPr>
            <w:tcW w:w="70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325</w:t>
            </w:r>
          </w:p>
        </w:tc>
        <w:tc>
          <w:tcPr>
            <w:tcW w:w="993"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6</w:t>
            </w:r>
          </w:p>
        </w:tc>
        <w:tc>
          <w:tcPr>
            <w:tcW w:w="1275" w:type="dxa"/>
            <w:tcBorders>
              <w:top w:val="nil"/>
              <w:left w:val="nil"/>
              <w:bottom w:val="single" w:color="auto" w:sz="8" w:space="0"/>
              <w:right w:val="single" w:color="auto" w:sz="8" w:space="0"/>
            </w:tcBorders>
            <w:shd w:val="clear"/>
            <w:tcMar>
              <w:left w:w="28" w:type="dxa"/>
              <w:right w:w="2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 </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第二条       复试时间及事项安排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复试时间与流程见表2所示。在复试流程的实施中凡涉及需使用飞书平台的任何操作细节，请详见《2022年电子科技大学硕士研究生网络远程复试考生操作指南》。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32"/>
        </w:rPr>
      </w:pPr>
      <w:r>
        <w:rPr>
          <w:rFonts w:hint="eastAsia" w:ascii="宋体" w:hAnsi="宋体" w:eastAsia="宋体" w:cs="宋体"/>
          <w:sz w:val="24"/>
          <w:szCs w:val="32"/>
        </w:rPr>
        <w:t>表2 复试时间与流程表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55"/>
        <w:gridCol w:w="1829"/>
        <w:gridCol w:w="59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55"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8"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事项</w:t>
            </w:r>
          </w:p>
        </w:tc>
        <w:tc>
          <w:tcPr>
            <w:tcW w:w="182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8"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时    间</w:t>
            </w:r>
          </w:p>
        </w:tc>
        <w:tc>
          <w:tcPr>
            <w:tcW w:w="591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78"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说    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2" w:hRule="atLeast"/>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确认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复试信息</w:t>
            </w:r>
          </w:p>
        </w:tc>
        <w:tc>
          <w:tcPr>
            <w:tcW w:w="1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3月19-3月22日12:00前</w:t>
            </w:r>
          </w:p>
        </w:tc>
        <w:tc>
          <w:tcPr>
            <w:tcW w:w="59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全体考生登录电子科技大学研究生招生管理信息系统</w:t>
            </w:r>
            <w:r>
              <w:rPr>
                <w:rFonts w:hint="eastAsia" w:ascii="宋体" w:hAnsi="宋体" w:eastAsia="宋体" w:cs="宋体"/>
                <w:i w:val="0"/>
                <w:iCs w:val="0"/>
                <w:caps w:val="0"/>
                <w:color w:val="1E50A2"/>
                <w:spacing w:val="0"/>
                <w:kern w:val="0"/>
                <w:sz w:val="24"/>
                <w:szCs w:val="24"/>
                <w:u w:val="single"/>
                <w:bdr w:val="none" w:color="auto" w:sz="0" w:space="0"/>
                <w:lang w:val="en-US" w:eastAsia="zh-CN" w:bidi="ar"/>
              </w:rPr>
              <w:fldChar w:fldCharType="begin"/>
            </w:r>
            <w:r>
              <w:rPr>
                <w:rFonts w:hint="eastAsia" w:ascii="宋体" w:hAnsi="宋体" w:eastAsia="宋体" w:cs="宋体"/>
                <w:i w:val="0"/>
                <w:iCs w:val="0"/>
                <w:caps w:val="0"/>
                <w:color w:val="1E50A2"/>
                <w:spacing w:val="0"/>
                <w:kern w:val="0"/>
                <w:sz w:val="24"/>
                <w:szCs w:val="24"/>
                <w:u w:val="single"/>
                <w:bdr w:val="none" w:color="auto" w:sz="0" w:space="0"/>
                <w:lang w:val="en-US" w:eastAsia="zh-CN" w:bidi="ar"/>
              </w:rPr>
              <w:instrText xml:space="preserve"> HYPERLINK "http://zsgl.uestc.edu.cn/ksxt/login.aspx" </w:instrText>
            </w:r>
            <w:r>
              <w:rPr>
                <w:rFonts w:hint="eastAsia" w:ascii="宋体" w:hAnsi="宋体" w:eastAsia="宋体" w:cs="宋体"/>
                <w:i w:val="0"/>
                <w:iCs w:val="0"/>
                <w:caps w:val="0"/>
                <w:color w:val="1E50A2"/>
                <w:spacing w:val="0"/>
                <w:kern w:val="0"/>
                <w:sz w:val="24"/>
                <w:szCs w:val="24"/>
                <w:u w:val="single"/>
                <w:bdr w:val="none" w:color="auto" w:sz="0" w:space="0"/>
                <w:lang w:val="en-US" w:eastAsia="zh-CN" w:bidi="ar"/>
              </w:rPr>
              <w:fldChar w:fldCharType="separate"/>
            </w:r>
            <w:r>
              <w:rPr>
                <w:rStyle w:val="6"/>
                <w:rFonts w:hint="eastAsia" w:ascii="宋体" w:hAnsi="宋体" w:eastAsia="宋体" w:cs="宋体"/>
                <w:i w:val="0"/>
                <w:iCs w:val="0"/>
                <w:caps w:val="0"/>
                <w:color w:val="1E50A2"/>
                <w:spacing w:val="0"/>
                <w:sz w:val="24"/>
                <w:szCs w:val="24"/>
                <w:u w:val="single"/>
                <w:bdr w:val="none" w:color="auto" w:sz="0" w:space="0"/>
                <w:lang w:val="en-US"/>
              </w:rPr>
              <w:t>http://zsgl.uestc.edu.cn/ksxt/login.aspx</w:t>
            </w:r>
            <w:r>
              <w:rPr>
                <w:rFonts w:hint="eastAsia" w:ascii="宋体" w:hAnsi="宋体" w:eastAsia="宋体" w:cs="宋体"/>
                <w:i w:val="0"/>
                <w:iCs w:val="0"/>
                <w:caps w:val="0"/>
                <w:color w:val="1E50A2"/>
                <w:spacing w:val="0"/>
                <w:kern w:val="0"/>
                <w:sz w:val="24"/>
                <w:szCs w:val="24"/>
                <w:u w:val="single"/>
                <w:bdr w:val="none" w:color="auto" w:sz="0" w:space="0"/>
                <w:lang w:val="en-US" w:eastAsia="zh-CN" w:bidi="ar"/>
              </w:rPr>
              <w:fldChar w:fldCharType="end"/>
            </w:r>
            <w:r>
              <w:rPr>
                <w:rFonts w:hint="eastAsia" w:ascii="宋体" w:hAnsi="宋体" w:eastAsia="宋体" w:cs="宋体"/>
                <w:i w:val="0"/>
                <w:iCs w:val="0"/>
                <w:caps w:val="0"/>
                <w:color w:val="333333"/>
                <w:spacing w:val="0"/>
                <w:kern w:val="0"/>
                <w:sz w:val="24"/>
                <w:szCs w:val="24"/>
                <w:bdr w:val="none" w:color="auto" w:sz="0" w:space="0"/>
                <w:lang w:val="en-US" w:eastAsia="zh-CN" w:bidi="ar"/>
              </w:rPr>
              <w:t>确认复试信息（包括意向导师、专项志愿、缴费信息等），同时下载《复试通知单》。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804" w:hRule="atLeast"/>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人脸识别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打卡</w:t>
            </w:r>
          </w:p>
        </w:tc>
        <w:tc>
          <w:tcPr>
            <w:tcW w:w="1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3月19-3月22日18:00前</w:t>
            </w:r>
          </w:p>
        </w:tc>
        <w:tc>
          <w:tcPr>
            <w:tcW w:w="59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全体考生须登录手机端飞书软件平台，进行人脸识别（打卡）。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材料提交</w:t>
            </w:r>
          </w:p>
        </w:tc>
        <w:tc>
          <w:tcPr>
            <w:tcW w:w="1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3月19-3月22日18:00前</w:t>
            </w:r>
          </w:p>
        </w:tc>
        <w:tc>
          <w:tcPr>
            <w:tcW w:w="59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全体考生须登录飞书软件平台，按时上传本人相关材料（具体要求详见《2022年电子科技大学硕士研究生复试录取工作安排通知》第六条，其中补充材料请上传个人简历、大学成绩单及毕业设计（摘要）。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复试名单公布</w:t>
            </w:r>
          </w:p>
        </w:tc>
        <w:tc>
          <w:tcPr>
            <w:tcW w:w="1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3月24日</w:t>
            </w:r>
          </w:p>
        </w:tc>
        <w:tc>
          <w:tcPr>
            <w:tcW w:w="59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在实验室网站及研究生招生网站公布进入复试考生名单。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模拟演练</w:t>
            </w:r>
          </w:p>
        </w:tc>
        <w:tc>
          <w:tcPr>
            <w:tcW w:w="1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3月25日</w:t>
            </w:r>
          </w:p>
        </w:tc>
        <w:tc>
          <w:tcPr>
            <w:tcW w:w="59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实验室在飞书软件平台开展分组复试模拟演练，具体安排3月24日通过考生飞书群公告发布。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7" w:hRule="atLeast"/>
          <w:jc w:val="center"/>
        </w:trPr>
        <w:tc>
          <w:tcPr>
            <w:tcW w:w="11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复试</w:t>
            </w:r>
          </w:p>
        </w:tc>
        <w:tc>
          <w:tcPr>
            <w:tcW w:w="1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3月28日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3月29日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9:30开始</w:t>
            </w:r>
          </w:p>
        </w:tc>
        <w:tc>
          <w:tcPr>
            <w:tcW w:w="59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（1）复试方式为网络远程面试，采用我校统一的网络远程面试软件平台-飞书，考生需提前下载软件，并熟悉软件操作。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156" w:beforeAutospacing="0" w:after="156" w:afterAutospacing="0" w:line="240" w:lineRule="auto"/>
              <w:ind w:left="0" w:right="0" w:firstLine="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kern w:val="0"/>
                <w:sz w:val="24"/>
                <w:szCs w:val="24"/>
                <w:bdr w:val="none" w:color="auto" w:sz="0" w:space="0"/>
                <w:lang w:val="en-US" w:eastAsia="zh-CN" w:bidi="ar"/>
              </w:rPr>
              <w:t>（2）考生及专家复试分组随机产生，考生凭身份证原件和初试准考证在复试当天提前30分钟登录飞书平台候场参加复试（复试顺序随机产生）。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第三条 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复试内容为“英语”和“综合”。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英语测试总分100分（其中口语和听力各50分），四舍五入取整评分。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综合面试总分200分，四舍五入取整评分。综合面试包含如下“A”、“B”和“C”三个方面。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（A）专业基础与知识。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业基础与知识面试涉及本科层次的相关课程知识，例如：通信原理；通信与计算机网络；信号与系统；信息论基础；数字信号处理；计算机编程语言；数字电路与模拟电路；高等数学（含数学分析）；线性代数（含矩阵）；概率论与随机过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（B）专业素质和能力。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涉及面有：常规科学素养与工程素养（含创新与综合能力以及观察与洞察能力等）；软件与代码设计能力；电子技术与电路技术（含电子仪器仪表）把握能力；对所报考学科方向的基础理论与知识的灵活应用思路与方法；数学与物理知识的灵活应用思路与方法；对所报考学科方向的科技动态了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（C）综合素质和能力。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涉及面有：思想政治素质以及道德品质；事业心、责任感、纪律性、协作意识；行为举止、语义表达和待人礼仪；人文素养和百科知识；各类学习、科研、社会实践的经历以及工作成效；生理与心理健康。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每个考生面试时间一般不少于20分钟。具体流程是：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（2.1） 考生3分钟自我介绍（建议英语），可包含本人学习、科研、社会实践或实际工作表现等。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（2.2）“英语”考查，包含面试教师与考生的英语交流、面试教师英语提问等。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（2.3）“综合”考查，包括上述“A”、“B”和“C”内容，形式为考生逐个随机抽取试题并限时回答及面试教师询问与考生回答等环节。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同等学力加试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同等学力参加复试的考生，加试科目为《数字电路》、《数字信号处理》。加试方式为面试，每科满分为100分，考核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第四条 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实验室非全日制电子信息（085400）专业接收调剂；具体调剂要求和安排另行发布，请关注实验室网站后续调剂通知。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第五条 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为落实实施研究生培养的新模式和新机制，本实验室部分招生计划设置为科教结合产教融合研究生联合培养项目招生计划，相关项目情况如表3所示。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sz w:val="24"/>
          <w:szCs w:val="32"/>
        </w:rPr>
      </w:pPr>
      <w:r>
        <w:rPr>
          <w:rFonts w:hint="eastAsia" w:ascii="宋体" w:hAnsi="宋体" w:eastAsia="宋体" w:cs="宋体"/>
          <w:sz w:val="24"/>
          <w:szCs w:val="32"/>
        </w:rPr>
        <w:t>表3  实验室科教结合产教融合研究生联合培养项目招生计划表</w:t>
      </w:r>
    </w:p>
    <w:tbl>
      <w:tblPr>
        <w:tblW w:w="0" w:type="auto"/>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52"/>
        <w:gridCol w:w="2577"/>
        <w:gridCol w:w="10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35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项目名称</w:t>
            </w:r>
          </w:p>
        </w:tc>
        <w:tc>
          <w:tcPr>
            <w:tcW w:w="25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招生专业</w:t>
            </w:r>
          </w:p>
        </w:tc>
        <w:tc>
          <w:tcPr>
            <w:tcW w:w="102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拟招生人数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军事科学院创新研究院研究生联合培养基地项目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电子信息（全日制）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军事科学院系统研究院研究生联合培养基地项目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电子信息（全日制）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中国电科29</w:t>
            </w:r>
            <w:r>
              <w:rPr>
                <w:rFonts w:hint="eastAsia" w:ascii="宋体" w:hAnsi="宋体" w:eastAsia="宋体" w:cs="宋体"/>
                <w:i w:val="0"/>
                <w:iCs w:val="0"/>
                <w:caps w:val="0"/>
                <w:color w:val="333333"/>
                <w:spacing w:val="0"/>
                <w:kern w:val="0"/>
                <w:sz w:val="22"/>
                <w:szCs w:val="22"/>
                <w:bdr w:val="none" w:color="auto" w:sz="0" w:space="0"/>
                <w:lang w:val="en-US" w:eastAsia="zh-CN" w:bidi="ar"/>
              </w:rPr>
              <w:t>所研究生联合培养基地项目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电子信息（全日制）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46" w:hRule="atLeast"/>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中国电科10</w:t>
            </w:r>
            <w:r>
              <w:rPr>
                <w:rFonts w:hint="eastAsia" w:ascii="宋体" w:hAnsi="宋体" w:eastAsia="宋体" w:cs="宋体"/>
                <w:i w:val="0"/>
                <w:iCs w:val="0"/>
                <w:caps w:val="0"/>
                <w:color w:val="333333"/>
                <w:spacing w:val="0"/>
                <w:kern w:val="0"/>
                <w:sz w:val="22"/>
                <w:szCs w:val="22"/>
                <w:bdr w:val="none" w:color="auto" w:sz="0" w:space="0"/>
                <w:lang w:val="en-US" w:eastAsia="zh-CN" w:bidi="ar"/>
              </w:rPr>
              <w:t>所研究生联合培养基地项目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电子信息（全日制）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6" w:hRule="atLeast"/>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中国电科14</w:t>
            </w:r>
            <w:r>
              <w:rPr>
                <w:rFonts w:hint="eastAsia" w:ascii="宋体" w:hAnsi="宋体" w:eastAsia="宋体" w:cs="宋体"/>
                <w:i w:val="0"/>
                <w:iCs w:val="0"/>
                <w:caps w:val="0"/>
                <w:color w:val="333333"/>
                <w:spacing w:val="0"/>
                <w:kern w:val="0"/>
                <w:sz w:val="22"/>
                <w:szCs w:val="22"/>
                <w:bdr w:val="none" w:color="auto" w:sz="0" w:space="0"/>
                <w:lang w:val="en-US" w:eastAsia="zh-CN" w:bidi="ar"/>
              </w:rPr>
              <w:t>所研究生联合培养基地项目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电子信息（全日制）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08" w:hRule="atLeast"/>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长三角研究院（湖州）研究生联合培养项目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电子信息（全日制）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长三角研究院（湖州）研究生联合培养项目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 </w:t>
            </w:r>
            <w:r>
              <w:rPr>
                <w:rFonts w:hint="eastAsia" w:ascii="宋体" w:hAnsi="宋体" w:eastAsia="宋体" w:cs="宋体"/>
                <w:i w:val="0"/>
                <w:iCs w:val="0"/>
                <w:caps w:val="0"/>
                <w:color w:val="333333"/>
                <w:spacing w:val="0"/>
                <w:kern w:val="0"/>
                <w:sz w:val="22"/>
                <w:szCs w:val="22"/>
                <w:bdr w:val="none" w:color="auto" w:sz="0" w:space="0"/>
                <w:lang w:val="en-US" w:eastAsia="zh-CN" w:bidi="ar"/>
              </w:rPr>
              <w:t>电子信息（非全日制）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5" w:hRule="atLeast"/>
          <w:jc w:val="center"/>
        </w:trPr>
        <w:tc>
          <w:tcPr>
            <w:tcW w:w="535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喀什研究院研究生联合培养项目</w:t>
            </w:r>
          </w:p>
        </w:tc>
        <w:tc>
          <w:tcPr>
            <w:tcW w:w="25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 </w:t>
            </w:r>
            <w:r>
              <w:rPr>
                <w:rFonts w:hint="eastAsia" w:ascii="宋体" w:hAnsi="宋体" w:eastAsia="宋体" w:cs="宋体"/>
                <w:i w:val="0"/>
                <w:iCs w:val="0"/>
                <w:caps w:val="0"/>
                <w:color w:val="333333"/>
                <w:spacing w:val="0"/>
                <w:kern w:val="0"/>
                <w:sz w:val="22"/>
                <w:szCs w:val="22"/>
                <w:bdr w:val="none" w:color="auto" w:sz="0" w:space="0"/>
                <w:lang w:val="en-US" w:eastAsia="zh-CN" w:bidi="ar"/>
              </w:rPr>
              <w:t>电子信息（非全日制）</w:t>
            </w:r>
          </w:p>
        </w:tc>
        <w:tc>
          <w:tcPr>
            <w:tcW w:w="102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宋体" w:hAnsi="宋体" w:eastAsia="宋体" w:cs="宋体"/>
                <w:sz w:val="21"/>
                <w:szCs w:val="21"/>
              </w:rPr>
            </w:pPr>
            <w:r>
              <w:rPr>
                <w:rFonts w:hint="eastAsia" w:ascii="宋体" w:hAnsi="宋体" w:eastAsia="宋体" w:cs="宋体"/>
                <w:i w:val="0"/>
                <w:iCs w:val="0"/>
                <w:caps w:val="0"/>
                <w:color w:val="333333"/>
                <w:spacing w:val="0"/>
                <w:kern w:val="0"/>
                <w:sz w:val="22"/>
                <w:szCs w:val="22"/>
                <w:bdr w:val="none" w:color="auto" w:sz="0" w:space="0"/>
                <w:lang w:val="en-US" w:eastAsia="zh-CN" w:bidi="ar"/>
              </w:rPr>
              <w:t>2</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专项志愿填报注意事项如下。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复试信息确认”的时候须在系统中填报本人的普通计划（非联合培养项目）及研究生联合培养项目意向顺序。实验室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第六条 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（1）拟录取程序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遵循“公开”、“公平”和“公正”原则，按照学校相关要求实施。录取优先原则为，“第一志愿”优先于“调剂”。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复试成绩将于3月30日在学校研究生招生管理信息系统公布。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成绩公布1天内，接受考生实名成绩复核申请。申请复核者应提交签字后的复核申请书PDF格式扫描件至邮箱 yuping_ni@uestc.edu.cn。实验室接到复核申请后3天内邮件或电话向考生回复复核结果。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3月31日，实验室公布拟录取名单，其中拟录取导师将综合考虑考生填报的意向和实验室实际情况安排，公布渠道为通信抗干扰技术国家级重点实验室网站。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33DBC"/>
    <w:rsid w:val="21454A36"/>
    <w:rsid w:val="457923BB"/>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153</Characters>
  <Lines>0</Lines>
  <Paragraphs>0</Paragraphs>
  <TotalTime>14</TotalTime>
  <ScaleCrop>false</ScaleCrop>
  <LinksUpToDate>false</LinksUpToDate>
  <CharactersWithSpaces>153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2022-03-21T08:50:16Z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