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四川大学计算机学院（软件学院）2022年硕士研究生招生复试通知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复试时间为：3月29日早上9:00，线上编程测试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3月30日-31日线上面试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1.学院将于3月25日进行视频演练测试，请考生提前准备，准时按要求进行测试。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以下材料按PDF格式统一打包，压缩文件命名为：姓名-专业.rar，要求3月24日前发往邮箱kanxuan@scu.edu.cn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考生按照模板（附件2）编制个人陈述PPT，以PDF格式，文件命名为姓名-专业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以下材料扫描件：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（5）手写签名的《四川大学2022年硕士研究生诚信复试承诺书》（见附件4）。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专业学位考生：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时间：2022年3月30日9时-18时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科学学位考生及推免考生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时间：2022年3月31日9时-18时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考核内容：外语水平测试（随机抽题），专业知识问答（随机抽题），个人情况PPT展示，综合素质及能力测试。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本校考生，如无法缴费，请在身份证号码后加B），密码为：CS12345@；缴费时间为3月23日～3月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体检表请寄往：成都市一环路南一段24号，四川大学计算机学院研究生科 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联系电话：02885468665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体检表报学院截止时间：加盖公章的体检表原件请于拟录取名单公示后7个工作日内快递邮件到我院（建议顺丰邮寄）。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p>
    <w:tbl>
      <w:tblPr>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2385"/>
        <w:gridCol w:w="370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jc w:val="center"/>
        </w:trPr>
        <w:tc>
          <w:tcPr>
            <w:tcW w:w="238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专业代码</w:t>
            </w:r>
          </w:p>
        </w:tc>
        <w:tc>
          <w:tcPr>
            <w:tcW w:w="370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专业名称</w:t>
            </w:r>
          </w:p>
        </w:tc>
        <w:tc>
          <w:tcPr>
            <w:tcW w:w="232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8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081200</w:t>
            </w:r>
          </w:p>
        </w:tc>
        <w:tc>
          <w:tcPr>
            <w:tcW w:w="370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计算机科学与技术</w:t>
            </w:r>
          </w:p>
        </w:tc>
        <w:tc>
          <w:tcPr>
            <w:tcW w:w="232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8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083500</w:t>
            </w:r>
          </w:p>
        </w:tc>
        <w:tc>
          <w:tcPr>
            <w:tcW w:w="370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软件工程</w:t>
            </w:r>
          </w:p>
        </w:tc>
        <w:tc>
          <w:tcPr>
            <w:tcW w:w="2325" w:type="dxa"/>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center"/>
              <w:textAlignment w:val="auto"/>
              <w:rPr>
                <w:rFonts w:hint="eastAsia" w:ascii="宋体" w:hAnsi="宋体" w:eastAsia="宋体" w:cs="宋体"/>
                <w:b w:val="0"/>
                <w:bCs w:val="0"/>
                <w:color w:val="333333"/>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349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1F3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