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四川大学建筑与环境学院2022年硕士研究生招生复试通知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根据《四川大学2022年硕士研究生复试录取工作实施办法》有关规定，经学院研究生招生工作领导小组研究，2022年我院硕士研究生招生复试安排如下：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复试形式为线上远程网络复试。复试平台后续另行通知，敬请关注。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复试时间为3月25日—3月27日。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二、远程网络准备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网络视频准备，具体要求详见学院《2022硕士线上复试考生指南》（附件1）。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1.学院将于3月23日-3月25日进行视频演练测试，请考生提前准备，准时按要求进行测试。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2.考生应注意着装，应保持发型整洁，素颜、露耳且不可佩戴首饰。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三、提交复试预审电子材料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以下材料扫描件按PDF格式统一打包，压缩文件命名为专业_姓名.rar，要求3月21日前发往学院邮箱2402426169@qq.com。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1.有效第二代居民身份证；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2.初试准考证（如丢失请登录中国研招网系统打印）；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3.毕业证（应届生需提供完整注册的学生证）、学位证书；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4.本科学习成绩单（应届生由所在学校教务部门加盖公章，非应届生由考生档案所在单位提供并加盖公章）；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5.外语水平证明、发表论文、各项获奖材料证书等；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6.时长为5分钟的个人陈述PPT，包括自我评价、学业成绩、获奖情况、科研成果、专业志趣等。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7.手写签名的《四川大学2022年硕士研究生诚信复试承诺书》；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8、其它材料（按需提交）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网上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网上确认时未取得本科毕业证书的自考和网络教育考生，如此时已经取得本科毕业证书，需交验本科毕业证书原件并提交《教育部学历证书电子注册备案表》；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 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1.时间：复试过程原则上不少于25分钟，其中前5分钟为PPT个人陈述。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2.考核内容：个人陈述，专业知识问答（随机抽题），专业素质及综合能力测试（专家提问）,外语水平测试。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五、成绩计算方法：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复试为差额复试。复试成绩总分为100分，复试成绩应不低于60分，否则视为复试不合格，不予录取。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加权公式：S总=S初（百分制)*70%+S复（百分制)*30%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 四川省财政厅关于规范全省教育系统考试考务行政事业性收费的通知》（川发改价格〔2012〕641号）规定：研究生招生复试费：每生120元，按照学校相关要求，研究生复试费需在网上缴纳。缴费网址：http:// sf.scu.edu.cn，用户名:考生本人编号（例如106101xxxxxx010）；初始密码:Scu123456，无需更改密码。缴费时间2022年3月19日至3月24日中午12点。特别提醒，本次缴费无需注册，直接输入用户名、密码、验证码即可登录，请不要随意注册，否则无法正常缴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拟录取名单公示后，在二级甲等以上医院体检（1寸照片贴体检表）。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体检表交回时间：拟录取名单公示后7个工作日内</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体检表交回/邮寄地址：建筑与环境学院研究生办公室（四川大学望江校区行政楼一楼108办公室，张老师收）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复试分数线</w:t>
      </w:r>
    </w:p>
    <w:tbl>
      <w:tblPr>
        <w:tblW w:w="9071"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2571"/>
        <w:gridCol w:w="3994"/>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567" w:hRule="atLeast"/>
          <w:tblCellSpacing w:w="0" w:type="dxa"/>
          <w:jc w:val="center"/>
        </w:trPr>
        <w:tc>
          <w:tcPr>
            <w:tcW w:w="2385" w:type="dxa"/>
            <w:tcBorders>
              <w:tl2br w:val="nil"/>
              <w:tr2bl w:val="nil"/>
            </w:tcBorders>
            <w:shd w:val="clear"/>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666666"/>
                <w:spacing w:val="0"/>
                <w:sz w:val="24"/>
                <w:szCs w:val="24"/>
                <w:bdr w:val="none" w:color="auto" w:sz="0" w:space="0"/>
              </w:rPr>
              <w:t>专业代码</w:t>
            </w:r>
          </w:p>
        </w:tc>
        <w:tc>
          <w:tcPr>
            <w:tcW w:w="3705" w:type="dxa"/>
            <w:tcBorders>
              <w:tl2br w:val="nil"/>
              <w:tr2bl w:val="nil"/>
            </w:tcBorders>
            <w:shd w:val="clear"/>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666666"/>
                <w:spacing w:val="0"/>
                <w:sz w:val="24"/>
                <w:szCs w:val="24"/>
                <w:bdr w:val="none" w:color="auto" w:sz="0" w:space="0"/>
              </w:rPr>
              <w:t>专业名称</w:t>
            </w:r>
          </w:p>
        </w:tc>
        <w:tc>
          <w:tcPr>
            <w:tcW w:w="2325" w:type="dxa"/>
            <w:tcBorders>
              <w:tl2br w:val="nil"/>
              <w:tr2bl w:val="nil"/>
            </w:tcBorders>
            <w:shd w:val="clear"/>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sz w:val="24"/>
                <w:szCs w:val="24"/>
              </w:rPr>
            </w:pPr>
            <w:r>
              <w:rPr>
                <w:rStyle w:val="5"/>
                <w:rFonts w:hint="eastAsia" w:ascii="宋体" w:hAnsi="宋体" w:eastAsia="宋体" w:cs="宋体"/>
                <w:b w:val="0"/>
                <w:bCs/>
                <w:i w:val="0"/>
                <w:iCs w:val="0"/>
                <w:caps w:val="0"/>
                <w:color w:val="666666"/>
                <w:spacing w:val="0"/>
                <w:sz w:val="24"/>
                <w:szCs w:val="24"/>
                <w:bdr w:val="none" w:color="auto" w:sz="0" w:space="0"/>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rHeight w:val="567" w:hRule="atLeast"/>
          <w:tblCellSpacing w:w="0" w:type="dxa"/>
          <w:jc w:val="center"/>
        </w:trPr>
        <w:tc>
          <w:tcPr>
            <w:tcW w:w="2385" w:type="dxa"/>
            <w:tcBorders>
              <w:tl2br w:val="nil"/>
              <w:tr2bl w:val="nil"/>
            </w:tcBorders>
            <w:shd w:val="clear"/>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sz w:val="24"/>
                <w:szCs w:val="24"/>
              </w:rPr>
            </w:pPr>
            <w:r>
              <w:rPr>
                <w:rFonts w:hint="eastAsia" w:ascii="宋体" w:hAnsi="宋体" w:eastAsia="宋体" w:cs="宋体"/>
                <w:b w:val="0"/>
                <w:bCs/>
                <w:i w:val="0"/>
                <w:iCs w:val="0"/>
                <w:caps w:val="0"/>
                <w:color w:val="333333"/>
                <w:spacing w:val="0"/>
                <w:sz w:val="24"/>
                <w:szCs w:val="24"/>
                <w:bdr w:val="none" w:color="auto" w:sz="0" w:space="0"/>
              </w:rPr>
              <w:t>083300</w:t>
            </w:r>
          </w:p>
        </w:tc>
        <w:tc>
          <w:tcPr>
            <w:tcW w:w="3705" w:type="dxa"/>
            <w:tcBorders>
              <w:tl2br w:val="nil"/>
              <w:tr2bl w:val="nil"/>
            </w:tcBorders>
            <w:shd w:val="clear"/>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sz w:val="24"/>
                <w:szCs w:val="24"/>
              </w:rPr>
            </w:pPr>
            <w:bookmarkStart w:id="0" w:name="_GoBack"/>
            <w:bookmarkEnd w:id="0"/>
            <w:r>
              <w:rPr>
                <w:rFonts w:hint="eastAsia" w:ascii="宋体" w:hAnsi="宋体" w:eastAsia="宋体" w:cs="宋体"/>
                <w:b w:val="0"/>
                <w:bCs/>
                <w:i w:val="0"/>
                <w:iCs w:val="0"/>
                <w:caps w:val="0"/>
                <w:color w:val="333333"/>
                <w:spacing w:val="0"/>
                <w:sz w:val="24"/>
                <w:szCs w:val="24"/>
                <w:bdr w:val="none" w:color="auto" w:sz="0" w:space="0"/>
              </w:rPr>
              <w:t>城乡规划学</w:t>
            </w:r>
          </w:p>
        </w:tc>
        <w:tc>
          <w:tcPr>
            <w:tcW w:w="2325" w:type="dxa"/>
            <w:tcBorders>
              <w:tl2br w:val="nil"/>
              <w:tr2bl w:val="nil"/>
            </w:tcBorders>
            <w:shd w:val="clear"/>
            <w:tcMar>
              <w:top w:w="0" w:type="dxa"/>
              <w:left w:w="105" w:type="dxa"/>
              <w:bottom w:w="0"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line="240" w:lineRule="auto"/>
              <w:ind w:left="0" w:right="0" w:firstLine="0"/>
              <w:jc w:val="center"/>
              <w:textAlignment w:val="auto"/>
              <w:rPr>
                <w:rFonts w:hint="eastAsia" w:ascii="宋体" w:hAnsi="宋体" w:eastAsia="宋体" w:cs="宋体"/>
                <w:b w:val="0"/>
                <w:bCs/>
                <w:sz w:val="24"/>
                <w:szCs w:val="24"/>
              </w:rPr>
            </w:pPr>
            <w:r>
              <w:rPr>
                <w:rFonts w:hint="eastAsia" w:ascii="宋体" w:hAnsi="宋体" w:eastAsia="宋体" w:cs="宋体"/>
                <w:b w:val="0"/>
                <w:bCs/>
                <w:i w:val="0"/>
                <w:iCs w:val="0"/>
                <w:caps w:val="0"/>
                <w:color w:val="333333"/>
                <w:spacing w:val="0"/>
                <w:sz w:val="24"/>
                <w:szCs w:val="24"/>
                <w:bdr w:val="none" w:color="auto" w:sz="0" w:space="0"/>
              </w:rPr>
              <w:t>351</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textAlignment w:val="auto"/>
        <w:rPr>
          <w:rFonts w:hint="default" w:ascii="宋体" w:hAnsi="宋体" w:eastAsia="宋体" w:cs="宋体"/>
          <w:b/>
          <w:bCs/>
          <w:sz w:val="24"/>
          <w:szCs w:val="32"/>
          <w:lang w:val="en-US" w:eastAsia="zh-CN"/>
        </w:rPr>
      </w:pPr>
    </w:p>
    <w:sectPr>
      <w:pgSz w:w="11906" w:h="16838"/>
      <w:pgMar w:top="1440" w:right="1066" w:bottom="1440" w:left="96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43494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2022-03-23T07:17:25Z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