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四川大学华西药学院2022年硕士研究生招生复试通知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1、复试形式为线上远程网络面试。复试平台采用华为welink（首选方案）和腾讯会议软件（备选方案）进行。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2、全院正式复试时间：2022年3月27日 – 4月1日。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网络视频准备，具体要求详见《华西药学院2022年硕士研究生线上复试考生指南》（附件1）。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1、学院各复试小组将于3月25日-3月26日（具体时间以复试小组通知为准）与考生进行面试排序抽签和一对一视频演练测试，请考生提前准备，准时按要求进行测试。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2、考生应注意着装，应保持发型整洁，免冠、素颜、露耳且不可佩戴首饰、耳机等，考生面部处于顺光环境并受光均匀；复试环境应相对封闭、安静，复试过程严禁无关人等进入或旁观和严重噪音干扰。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前，我院将进行材料预审，考生需将以下电子材料扫描为PDF格式文件，按照以下顺序命名后统一打包成压缩文件发送到指定邮箱（详见附件1）。压缩文件命名格式：学硕/专硕-报考研究方向-考生姓名.rar。材料接收截止时间：3月25日18：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3、毕业证、学位证书（应届生需提供完整注册的学生证）；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6、毕业论文题目及内容简介;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7、个人综述（不少于1000字），包括自我评价、专业志趣、专业、职业规划等；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8、手写签名的《四川大学2022年硕士研究生诚信复试承诺书》（附件2）；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面试内容主要为专业能力考核（原则上随机抽题并答题）、PPT个人展示（5分钟）和综合素质考核（专家对考生提问）三部分。每位考生面试时间不少于25分钟。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用户名为：本人身份证号（或考生编号），密码：yxy/123456；缴费时间：3月22日-3月26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拟录取名单公示后，请拟录取考生在二级甲等及以上医院或四川大学华西保健医院健康管理中心体检（1寸照片贴体检表）。加盖公章的体检表原件请于拟录取名单公示后10个工作日内寄送到我院。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体检表寄送地址：四川省成都市人民南路三段17号四川大学华西校区华西药学院研究生管理办公室邓韬毅收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联系电话：028-85503407，15079964919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复试分数线</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50"/>
        <w:gridCol w:w="1455"/>
        <w:gridCol w:w="1785"/>
        <w:gridCol w:w="1830"/>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CellSpacing w:w="0" w:type="dxa"/>
          <w:jc w:val="center"/>
        </w:trPr>
        <w:tc>
          <w:tcPr>
            <w:tcW w:w="16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pPr>
            <w:r>
              <w:rPr>
                <w:rStyle w:val="5"/>
                <w:rFonts w:hint="eastAsia" w:ascii="宋体" w:hAnsi="宋体" w:eastAsia="宋体" w:cs="宋体"/>
                <w:caps w:val="0"/>
                <w:spacing w:val="0"/>
                <w:sz w:val="21"/>
                <w:szCs w:val="21"/>
                <w:bdr w:val="none" w:color="auto" w:sz="0" w:space="0"/>
              </w:rPr>
              <w:t>专业代码</w:t>
            </w:r>
          </w:p>
        </w:tc>
        <w:tc>
          <w:tcPr>
            <w:tcW w:w="14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pPr>
            <w:r>
              <w:rPr>
                <w:rStyle w:val="5"/>
                <w:rFonts w:hint="eastAsia" w:ascii="宋体" w:hAnsi="宋体" w:eastAsia="宋体" w:cs="宋体"/>
                <w:caps w:val="0"/>
                <w:spacing w:val="0"/>
                <w:sz w:val="21"/>
                <w:szCs w:val="21"/>
                <w:bdr w:val="none" w:color="auto" w:sz="0" w:space="0"/>
              </w:rPr>
              <w:t>专业名称</w:t>
            </w:r>
          </w:p>
        </w:tc>
        <w:tc>
          <w:tcPr>
            <w:tcW w:w="178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caps w:val="0"/>
                <w:color w:val="000000"/>
                <w:spacing w:val="0"/>
                <w:sz w:val="21"/>
                <w:szCs w:val="21"/>
                <w:bdr w:val="none" w:color="auto" w:sz="0" w:space="0"/>
              </w:rPr>
              <w:t>单科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Style w:val="5"/>
                <w:rFonts w:hint="eastAsia" w:ascii="宋体" w:hAnsi="宋体" w:eastAsia="宋体" w:cs="宋体"/>
                <w:caps w:val="0"/>
                <w:color w:val="000000"/>
                <w:spacing w:val="0"/>
                <w:sz w:val="21"/>
                <w:szCs w:val="21"/>
                <w:bdr w:val="none" w:color="auto" w:sz="0" w:space="0"/>
              </w:rPr>
              <w:t>（满分</w:t>
            </w:r>
            <w:r>
              <w:rPr>
                <w:rStyle w:val="5"/>
                <w:rFonts w:hint="eastAsia" w:ascii="宋体" w:hAnsi="宋体" w:eastAsia="宋体" w:cs="宋体"/>
                <w:caps w:val="0"/>
                <w:color w:val="000000"/>
                <w:spacing w:val="0"/>
                <w:sz w:val="21"/>
                <w:szCs w:val="21"/>
                <w:bdr w:val="none" w:color="auto" w:sz="0" w:space="0"/>
                <w:lang w:val="en-US"/>
              </w:rPr>
              <w:t>=100</w:t>
            </w:r>
            <w:r>
              <w:rPr>
                <w:rStyle w:val="5"/>
                <w:rFonts w:hint="eastAsia" w:ascii="宋体" w:hAnsi="宋体" w:eastAsia="宋体" w:cs="宋体"/>
                <w:caps w:val="0"/>
                <w:color w:val="000000"/>
                <w:spacing w:val="0"/>
                <w:sz w:val="21"/>
                <w:szCs w:val="21"/>
                <w:bdr w:val="none" w:color="auto" w:sz="0" w:space="0"/>
              </w:rPr>
              <w:t>分）</w:t>
            </w:r>
          </w:p>
        </w:tc>
        <w:tc>
          <w:tcPr>
            <w:tcW w:w="14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宋体" w:hAnsi="宋体" w:eastAsia="宋体" w:cs="宋体"/>
                <w:caps w:val="0"/>
                <w:color w:val="000000"/>
                <w:spacing w:val="0"/>
                <w:sz w:val="21"/>
                <w:szCs w:val="21"/>
                <w:bdr w:val="none" w:color="auto" w:sz="0" w:space="0"/>
              </w:rPr>
              <w:t>单科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pPr>
            <w:r>
              <w:rPr>
                <w:rStyle w:val="5"/>
                <w:rFonts w:hint="eastAsia" w:ascii="宋体" w:hAnsi="宋体" w:eastAsia="宋体" w:cs="宋体"/>
                <w:caps w:val="0"/>
                <w:color w:val="000000"/>
                <w:spacing w:val="0"/>
                <w:sz w:val="21"/>
                <w:szCs w:val="21"/>
                <w:bdr w:val="none" w:color="auto" w:sz="0" w:space="0"/>
              </w:rPr>
              <w:t>（满分</w:t>
            </w:r>
            <w:r>
              <w:rPr>
                <w:rStyle w:val="5"/>
                <w:rFonts w:hint="eastAsia" w:ascii="宋体" w:hAnsi="宋体" w:eastAsia="宋体" w:cs="宋体"/>
                <w:caps w:val="0"/>
                <w:color w:val="000000"/>
                <w:spacing w:val="0"/>
                <w:sz w:val="21"/>
                <w:szCs w:val="21"/>
                <w:bdr w:val="none" w:color="auto" w:sz="0" w:space="0"/>
                <w:lang w:val="en-US"/>
              </w:rPr>
              <w:t>&gt;100</w:t>
            </w:r>
            <w:r>
              <w:rPr>
                <w:rStyle w:val="5"/>
                <w:rFonts w:hint="eastAsia" w:ascii="宋体" w:hAnsi="宋体" w:eastAsia="宋体" w:cs="宋体"/>
                <w:caps w:val="0"/>
                <w:color w:val="000000"/>
                <w:spacing w:val="0"/>
                <w:sz w:val="21"/>
                <w:szCs w:val="21"/>
                <w:bdr w:val="none" w:color="auto" w:sz="0" w:space="0"/>
              </w:rPr>
              <w:t>分）</w:t>
            </w:r>
          </w:p>
        </w:tc>
        <w:tc>
          <w:tcPr>
            <w:tcW w:w="148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
              <w:jc w:val="center"/>
            </w:pPr>
            <w:r>
              <w:rPr>
                <w:rStyle w:val="5"/>
                <w:rFonts w:hint="eastAsia" w:ascii="宋体" w:hAnsi="宋体" w:eastAsia="宋体" w:cs="宋体"/>
                <w:caps w:val="0"/>
                <w:spacing w:val="0"/>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6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pPr>
            <w:r>
              <w:rPr>
                <w:rFonts w:hint="eastAsia" w:ascii="宋体" w:hAnsi="宋体" w:eastAsia="宋体" w:cs="宋体"/>
                <w:caps w:val="0"/>
                <w:spacing w:val="0"/>
                <w:sz w:val="21"/>
                <w:szCs w:val="21"/>
                <w:bdr w:val="none" w:color="auto" w:sz="0" w:space="0"/>
                <w:lang w:val="en-US"/>
              </w:rPr>
              <w:t>100700</w:t>
            </w:r>
          </w:p>
        </w:tc>
        <w:tc>
          <w:tcPr>
            <w:tcW w:w="14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caps w:val="0"/>
                <w:spacing w:val="0"/>
                <w:sz w:val="21"/>
                <w:szCs w:val="21"/>
                <w:bdr w:val="none" w:color="auto" w:sz="0" w:space="0"/>
              </w:rPr>
              <w:t>药学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caps w:val="0"/>
                <w:spacing w:val="0"/>
                <w:sz w:val="21"/>
                <w:szCs w:val="21"/>
                <w:bdr w:val="none" w:color="auto" w:sz="0" w:space="0"/>
                <w:lang w:val="en-US"/>
              </w:rPr>
              <w:t>60</w:t>
            </w:r>
          </w:p>
        </w:tc>
        <w:tc>
          <w:tcPr>
            <w:tcW w:w="16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caps w:val="0"/>
                <w:spacing w:val="0"/>
                <w:sz w:val="21"/>
                <w:szCs w:val="21"/>
                <w:bdr w:val="none" w:color="auto" w:sz="0" w:space="0"/>
                <w:lang w:val="en-US"/>
              </w:rPr>
              <w:t>180</w:t>
            </w:r>
          </w:p>
        </w:tc>
        <w:tc>
          <w:tcPr>
            <w:tcW w:w="14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caps w:val="0"/>
                <w:spacing w:val="0"/>
                <w:sz w:val="21"/>
                <w:szCs w:val="21"/>
                <w:bdr w:val="none" w:color="auto" w:sz="0" w:space="0"/>
                <w:lang w:val="en-US"/>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6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pPr>
            <w:r>
              <w:rPr>
                <w:rFonts w:hint="eastAsia" w:ascii="宋体" w:hAnsi="宋体" w:eastAsia="宋体" w:cs="宋体"/>
                <w:caps w:val="0"/>
                <w:spacing w:val="0"/>
                <w:sz w:val="21"/>
                <w:szCs w:val="21"/>
                <w:bdr w:val="none" w:color="auto" w:sz="0" w:space="0"/>
                <w:lang w:val="en-US"/>
              </w:rPr>
              <w:t>105500</w:t>
            </w:r>
          </w:p>
        </w:tc>
        <w:tc>
          <w:tcPr>
            <w:tcW w:w="14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caps w:val="0"/>
                <w:spacing w:val="0"/>
                <w:sz w:val="21"/>
                <w:szCs w:val="21"/>
                <w:bdr w:val="none" w:color="auto" w:sz="0" w:space="0"/>
              </w:rPr>
              <w:t>药学</w:t>
            </w: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caps w:val="0"/>
                <w:spacing w:val="0"/>
                <w:sz w:val="21"/>
                <w:szCs w:val="21"/>
                <w:bdr w:val="none" w:color="auto" w:sz="0" w:space="0"/>
                <w:lang w:val="en-US"/>
              </w:rPr>
              <w:t>60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caps w:val="0"/>
                <w:spacing w:val="0"/>
                <w:sz w:val="21"/>
                <w:szCs w:val="21"/>
                <w:bdr w:val="none" w:color="auto" w:sz="0" w:space="0"/>
                <w:lang w:val="en-US"/>
              </w:rPr>
              <w:t>180</w:t>
            </w:r>
          </w:p>
        </w:tc>
        <w:tc>
          <w:tcPr>
            <w:tcW w:w="14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caps w:val="0"/>
                <w:spacing w:val="0"/>
                <w:sz w:val="21"/>
                <w:szCs w:val="21"/>
                <w:bdr w:val="none" w:color="auto" w:sz="0" w:space="0"/>
                <w:lang w:val="en-US"/>
              </w:rPr>
              <w:t>355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val="en-US" w:eastAsia="zh-CN"/>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1DEB6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2022-03-23T08:14:45Z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