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关于公布北方民族大学2022年硕士研究生招生考试进入复试的初试成绩基本要求的通知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根据教育部《2022年全国硕士研究生招生考试考生进入复试的初试成绩基本要求》（国家分数线），经学校研究生招生工作领导小组审定，确定我校2022年各专业进入复试的初试成绩基本要求，现公布如下。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一、学术学位类</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925"/>
        <w:gridCol w:w="1170"/>
        <w:gridCol w:w="2355"/>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67" w:hRule="atLeast"/>
          <w:jc w:val="center"/>
        </w:trPr>
        <w:tc>
          <w:tcPr>
            <w:tcW w:w="3925"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学科门类名称</w:t>
            </w:r>
          </w:p>
        </w:tc>
        <w:tc>
          <w:tcPr>
            <w:tcW w:w="1170"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总分</w:t>
            </w:r>
          </w:p>
        </w:tc>
        <w:tc>
          <w:tcPr>
            <w:tcW w:w="2355"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单科（满分=100分）</w:t>
            </w:r>
          </w:p>
        </w:tc>
        <w:tc>
          <w:tcPr>
            <w:tcW w:w="2188"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单科（满分&gt;100分）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9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经济学</w:t>
            </w: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350</w:t>
            </w:r>
          </w:p>
        </w:tc>
        <w:tc>
          <w:tcPr>
            <w:tcW w:w="23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49</w:t>
            </w:r>
          </w:p>
        </w:tc>
        <w:tc>
          <w:tcPr>
            <w:tcW w:w="218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法学</w:t>
            </w:r>
          </w:p>
        </w:tc>
        <w:tc>
          <w:tcPr>
            <w:tcW w:w="11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325</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43</w:t>
            </w:r>
          </w:p>
        </w:tc>
        <w:tc>
          <w:tcPr>
            <w:tcW w:w="218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文学</w:t>
            </w:r>
          </w:p>
        </w:tc>
        <w:tc>
          <w:tcPr>
            <w:tcW w:w="11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357</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53</w:t>
            </w:r>
          </w:p>
        </w:tc>
        <w:tc>
          <w:tcPr>
            <w:tcW w:w="218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历史学</w:t>
            </w:r>
          </w:p>
        </w:tc>
        <w:tc>
          <w:tcPr>
            <w:tcW w:w="11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326</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43</w:t>
            </w:r>
          </w:p>
        </w:tc>
        <w:tc>
          <w:tcPr>
            <w:tcW w:w="218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理学</w:t>
            </w:r>
          </w:p>
        </w:tc>
        <w:tc>
          <w:tcPr>
            <w:tcW w:w="11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280</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36</w:t>
            </w:r>
          </w:p>
        </w:tc>
        <w:tc>
          <w:tcPr>
            <w:tcW w:w="218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工学(不含工学照顾专业)</w:t>
            </w:r>
          </w:p>
        </w:tc>
        <w:tc>
          <w:tcPr>
            <w:tcW w:w="11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263</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w:t>
            </w:r>
          </w:p>
        </w:tc>
        <w:tc>
          <w:tcPr>
            <w:tcW w:w="218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67" w:hRule="atLeast"/>
          <w:jc w:val="center"/>
        </w:trPr>
        <w:tc>
          <w:tcPr>
            <w:tcW w:w="39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享受少数民族照顾政策的考生</w:t>
            </w:r>
          </w:p>
        </w:tc>
        <w:tc>
          <w:tcPr>
            <w:tcW w:w="11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251</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30</w:t>
            </w:r>
          </w:p>
        </w:tc>
        <w:tc>
          <w:tcPr>
            <w:tcW w:w="218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67" w:hRule="atLeast"/>
          <w:jc w:val="center"/>
        </w:trPr>
        <w:tc>
          <w:tcPr>
            <w:tcW w:w="9638"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备注：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享受少数民族照顾政策的考生：报考地处二区招生单位，且毕业后在国务院公布的民族区域自治地方定向就业的少数民族普通高校应届本科毕业生考生；或者工作单位和户籍在国务院公布的民族区域自治地方，且定向就业单位为原单位的少数民族在职人员考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二、专业学位类</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75"/>
        <w:gridCol w:w="1215"/>
        <w:gridCol w:w="2355"/>
        <w:gridCol w:w="2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567" w:hRule="atLeast"/>
          <w:jc w:val="center"/>
        </w:trPr>
        <w:tc>
          <w:tcPr>
            <w:tcW w:w="3775"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学科门类名称</w:t>
            </w:r>
          </w:p>
        </w:tc>
        <w:tc>
          <w:tcPr>
            <w:tcW w:w="1215"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总分</w:t>
            </w:r>
          </w:p>
        </w:tc>
        <w:tc>
          <w:tcPr>
            <w:tcW w:w="2355"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单科（满分=100分）</w:t>
            </w:r>
          </w:p>
        </w:tc>
        <w:tc>
          <w:tcPr>
            <w:tcW w:w="2293" w:type="dxa"/>
            <w:tcBorders>
              <w:top w:val="single" w:color="auto" w:sz="6" w:space="0"/>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bdr w:val="none" w:color="auto" w:sz="0" w:space="0"/>
              </w:rPr>
              <w:t>单科（满分&gt;100分）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7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金融、应用统计、国际商务</w:t>
            </w:r>
          </w:p>
        </w:tc>
        <w:tc>
          <w:tcPr>
            <w:tcW w:w="12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350</w:t>
            </w:r>
          </w:p>
        </w:tc>
        <w:tc>
          <w:tcPr>
            <w:tcW w:w="23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49</w:t>
            </w:r>
          </w:p>
        </w:tc>
        <w:tc>
          <w:tcPr>
            <w:tcW w:w="22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7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法律(非法学)、法律(法学)</w:t>
            </w:r>
          </w:p>
        </w:tc>
        <w:tc>
          <w:tcPr>
            <w:tcW w:w="12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325</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43</w:t>
            </w:r>
          </w:p>
        </w:tc>
        <w:tc>
          <w:tcPr>
            <w:tcW w:w="22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7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电子信息、材料与化工</w:t>
            </w:r>
          </w:p>
        </w:tc>
        <w:tc>
          <w:tcPr>
            <w:tcW w:w="12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263</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35</w:t>
            </w:r>
          </w:p>
        </w:tc>
        <w:tc>
          <w:tcPr>
            <w:tcW w:w="22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公共管理</w:t>
            </w:r>
          </w:p>
        </w:tc>
        <w:tc>
          <w:tcPr>
            <w:tcW w:w="12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168</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40</w:t>
            </w:r>
          </w:p>
        </w:tc>
        <w:tc>
          <w:tcPr>
            <w:tcW w:w="22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37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会计</w:t>
            </w:r>
          </w:p>
        </w:tc>
        <w:tc>
          <w:tcPr>
            <w:tcW w:w="12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197</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45</w:t>
            </w:r>
          </w:p>
        </w:tc>
        <w:tc>
          <w:tcPr>
            <w:tcW w:w="22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艺术</w:t>
            </w:r>
          </w:p>
        </w:tc>
        <w:tc>
          <w:tcPr>
            <w:tcW w:w="12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351</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37</w:t>
            </w:r>
          </w:p>
        </w:tc>
        <w:tc>
          <w:tcPr>
            <w:tcW w:w="22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7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享受少数民族照顾政策的考生</w:t>
            </w:r>
          </w:p>
        </w:tc>
        <w:tc>
          <w:tcPr>
            <w:tcW w:w="121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251</w:t>
            </w:r>
          </w:p>
        </w:tc>
        <w:tc>
          <w:tcPr>
            <w:tcW w:w="23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30</w:t>
            </w:r>
          </w:p>
        </w:tc>
        <w:tc>
          <w:tcPr>
            <w:tcW w:w="22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7" w:hRule="atLeast"/>
          <w:jc w:val="center"/>
        </w:trPr>
        <w:tc>
          <w:tcPr>
            <w:tcW w:w="9638"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备注：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bdr w:val="none" w:color="auto" w:sz="0" w:space="0"/>
                <w:shd w:val="clear" w:fill="FFFFFF"/>
                <w14:textFill>
                  <w14:solidFill>
                    <w14:schemeClr w14:val="tx1"/>
                  </w14:solidFill>
                </w14:textFill>
              </w:rPr>
              <w:t>享受少数民族照顾政策的考生：报考地处二区招生单位，且毕业后在国务院公布的民族区域自治地方定向就业的少数民族普通高校应届本科毕业生考生；或者工作单位和户籍在国务院公布的民族区域自治地方，且定向就业单位为原单位的少数民族在职人员考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三、专项计划</w:t>
      </w:r>
    </w:p>
    <w:tbl>
      <w:tblPr>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3771"/>
        <w:gridCol w:w="1425"/>
        <w:gridCol w:w="2430"/>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jc w:val="center"/>
        </w:trPr>
        <w:tc>
          <w:tcPr>
            <w:tcW w:w="3771"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bCs/>
                <w:color w:val="000000" w:themeColor="text1"/>
                <w:sz w:val="24"/>
                <w:szCs w:val="24"/>
                <w14:textFill>
                  <w14:solidFill>
                    <w14:schemeClr w14:val="tx1"/>
                  </w14:solidFill>
                </w14:textFill>
              </w:rPr>
            </w:pPr>
            <w:r>
              <w:rPr>
                <w:rStyle w:val="5"/>
                <w:rFonts w:hint="eastAsia" w:ascii="宋体" w:hAnsi="宋体" w:eastAsia="宋体" w:cs="宋体"/>
                <w:b/>
                <w:bCs/>
                <w:i w:val="0"/>
                <w:iCs w:val="0"/>
                <w:caps w:val="0"/>
                <w:color w:val="000000" w:themeColor="text1"/>
                <w:spacing w:val="0"/>
                <w:sz w:val="24"/>
                <w:szCs w:val="24"/>
                <w:bdr w:val="none" w:color="auto" w:sz="0" w:space="0"/>
                <w14:textFill>
                  <w14:solidFill>
                    <w14:schemeClr w14:val="tx1"/>
                  </w14:solidFill>
                </w14:textFill>
              </w:rPr>
              <w:t>专项计划类别</w:t>
            </w:r>
          </w:p>
        </w:tc>
        <w:tc>
          <w:tcPr>
            <w:tcW w:w="142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bCs/>
                <w:color w:val="000000" w:themeColor="text1"/>
                <w:sz w:val="24"/>
                <w:szCs w:val="24"/>
                <w14:textFill>
                  <w14:solidFill>
                    <w14:schemeClr w14:val="tx1"/>
                  </w14:solidFill>
                </w14:textFill>
              </w:rPr>
            </w:pPr>
            <w:r>
              <w:rPr>
                <w:rStyle w:val="5"/>
                <w:rFonts w:hint="eastAsia" w:ascii="宋体" w:hAnsi="宋体" w:eastAsia="宋体" w:cs="宋体"/>
                <w:b/>
                <w:bCs/>
                <w:i w:val="0"/>
                <w:iCs w:val="0"/>
                <w:caps w:val="0"/>
                <w:color w:val="000000" w:themeColor="text1"/>
                <w:spacing w:val="0"/>
                <w:sz w:val="24"/>
                <w:szCs w:val="24"/>
                <w:bdr w:val="none" w:color="auto" w:sz="0" w:space="0"/>
                <w14:textFill>
                  <w14:solidFill>
                    <w14:schemeClr w14:val="tx1"/>
                  </w14:solidFill>
                </w14:textFill>
              </w:rPr>
              <w:t>总分</w:t>
            </w:r>
          </w:p>
        </w:tc>
        <w:tc>
          <w:tcPr>
            <w:tcW w:w="2430"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bCs/>
                <w:color w:val="000000" w:themeColor="text1"/>
                <w:sz w:val="24"/>
                <w:szCs w:val="24"/>
                <w14:textFill>
                  <w14:solidFill>
                    <w14:schemeClr w14:val="tx1"/>
                  </w14:solidFill>
                </w14:textFill>
              </w:rPr>
            </w:pPr>
            <w:r>
              <w:rPr>
                <w:rStyle w:val="5"/>
                <w:rFonts w:hint="eastAsia" w:ascii="宋体" w:hAnsi="宋体" w:eastAsia="宋体" w:cs="宋体"/>
                <w:b/>
                <w:bCs/>
                <w:i w:val="0"/>
                <w:iCs w:val="0"/>
                <w:caps w:val="0"/>
                <w:color w:val="000000" w:themeColor="text1"/>
                <w:spacing w:val="0"/>
                <w:sz w:val="24"/>
                <w:szCs w:val="24"/>
                <w:bdr w:val="none" w:color="auto" w:sz="0" w:space="0"/>
                <w14:textFill>
                  <w14:solidFill>
                    <w14:schemeClr w14:val="tx1"/>
                  </w14:solidFill>
                </w14:textFill>
              </w:rPr>
              <w:t>单科（满分=100分）</w:t>
            </w:r>
          </w:p>
        </w:tc>
        <w:tc>
          <w:tcPr>
            <w:tcW w:w="2334"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bCs/>
                <w:color w:val="000000" w:themeColor="text1"/>
                <w:sz w:val="24"/>
                <w:szCs w:val="24"/>
                <w14:textFill>
                  <w14:solidFill>
                    <w14:schemeClr w14:val="tx1"/>
                  </w14:solidFill>
                </w14:textFill>
              </w:rPr>
            </w:pPr>
            <w:r>
              <w:rPr>
                <w:rStyle w:val="5"/>
                <w:rFonts w:hint="eastAsia" w:ascii="宋体" w:hAnsi="宋体" w:eastAsia="宋体" w:cs="宋体"/>
                <w:b/>
                <w:bCs/>
                <w:i w:val="0"/>
                <w:iCs w:val="0"/>
                <w:caps w:val="0"/>
                <w:color w:val="000000" w:themeColor="text1"/>
                <w:spacing w:val="0"/>
                <w:sz w:val="24"/>
                <w:szCs w:val="24"/>
                <w:bdr w:val="none" w:color="auto" w:sz="0" w:space="0"/>
                <w14:textFill>
                  <w14:solidFill>
                    <w14:schemeClr w14:val="tx1"/>
                  </w14:solidFill>
                </w14:textFill>
              </w:rPr>
              <w:t>单科（满分&gt;100分）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3771"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Style w:val="5"/>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少数民族高层次骨干人才计划</w:t>
            </w:r>
          </w:p>
        </w:tc>
        <w:tc>
          <w:tcPr>
            <w:tcW w:w="142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251</w:t>
            </w:r>
          </w:p>
        </w:tc>
        <w:tc>
          <w:tcPr>
            <w:tcW w:w="2430"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30</w:t>
            </w:r>
          </w:p>
        </w:tc>
        <w:tc>
          <w:tcPr>
            <w:tcW w:w="2334"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0" w:hRule="atLeast"/>
          <w:jc w:val="center"/>
        </w:trPr>
        <w:tc>
          <w:tcPr>
            <w:tcW w:w="3771"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Style w:val="5"/>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退役大学生士兵专项计划</w:t>
            </w:r>
          </w:p>
        </w:tc>
        <w:tc>
          <w:tcPr>
            <w:tcW w:w="1425"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251</w:t>
            </w:r>
          </w:p>
        </w:tc>
        <w:tc>
          <w:tcPr>
            <w:tcW w:w="2430"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20</w:t>
            </w:r>
          </w:p>
        </w:tc>
        <w:tc>
          <w:tcPr>
            <w:tcW w:w="2334" w:type="dxa"/>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bdr w:val="none" w:color="auto" w:sz="0" w:space="0"/>
                <w14:textFill>
                  <w14:solidFill>
                    <w14:schemeClr w14:val="tx1"/>
                  </w14:solidFill>
                </w14:textFill>
              </w:rPr>
              <w:t>35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913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2022-03-24T07:27:58Z</dcterms:created>
  <dc:creator>12345678</dc:creator>
  <cp:lastModifiedBy>李恒</cp:lastModifiedBy>
  <dcterms:modified xsi:type="dcterms:W3CDTF">2022-03-24T07:52:23Z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6A1F55FC68CD40879077DDCE02D8A34D</vt:lpwstr>
  </property>
</Properties>
</file>