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云南大学关于公布2022年硕士研究生招生复试分数线的通知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各位考生：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按照教育部和云南省招生考试院有关要求，结合我校实际情况，经学校招生工作领导小组审定，现将我校2022年硕士研究生招生考试一志愿各专业进入复试的初试成绩（总分以及单科成绩）要求公布如下：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一、普通计划各专业进入复试的初试成绩要求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《云南大学2022年硕士研究生招生考试一志愿各专业进入复试的初试成绩要求》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达到以上各专业复试分数线要求的考生可进入复试。对复试成绩合格的考生，按照综合成绩排名择优录取。若综合成绩相同，按照复试成绩从高到低排序择优录取。如有考生放弃录取资格，依次递补。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二、各专项计划相关专业进入复试的初试成绩要求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 单考计划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英语、政治不低于30分；业务课不低于60分；总分不低于290分。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2. 退役大学生士兵专项计划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①总分为300分的专业：相应专业国家线单科下降5分，总分下降10分。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②总分为500分的专业：相应专业国家线单科下降5分，总分下降15分。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 少数民族高层次骨干人才计划</w:t>
      </w:r>
    </w:p>
    <w:tbl>
      <w:tblPr>
        <w:tblW w:w="9493" w:type="dxa"/>
        <w:jc w:val="center"/>
        <w:tblCellSpacing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71"/>
        <w:gridCol w:w="4111"/>
        <w:gridCol w:w="1559"/>
        <w:gridCol w:w="1559"/>
        <w:gridCol w:w="993"/>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ascii="Calibri" w:hAnsi="Calibri" w:cs="Calibri"/>
                <w:sz w:val="21"/>
                <w:szCs w:val="21"/>
              </w:rPr>
            </w:pPr>
            <w:r>
              <w:rPr>
                <w:rStyle w:val="4"/>
                <w:rFonts w:ascii="仿宋" w:hAnsi="仿宋" w:eastAsia="仿宋" w:cs="仿宋"/>
                <w:i w:val="0"/>
                <w:iCs w:val="0"/>
                <w:caps w:val="0"/>
                <w:color w:val="000000"/>
                <w:spacing w:val="0"/>
                <w:kern w:val="0"/>
                <w:sz w:val="24"/>
                <w:szCs w:val="24"/>
                <w:lang w:val="en-US" w:eastAsia="zh-CN" w:bidi="ar"/>
              </w:rPr>
              <w:t>专业代码</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eastAsia" w:ascii="仿宋" w:hAnsi="仿宋" w:eastAsia="仿宋" w:cs="仿宋"/>
                <w:i w:val="0"/>
                <w:iCs w:val="0"/>
                <w:caps w:val="0"/>
                <w:color w:val="000000"/>
                <w:spacing w:val="0"/>
                <w:kern w:val="0"/>
                <w:sz w:val="24"/>
                <w:szCs w:val="24"/>
                <w:lang w:val="en-US" w:eastAsia="zh-CN" w:bidi="ar"/>
              </w:rPr>
              <w:t>专业名称</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eastAsia" w:ascii="仿宋" w:hAnsi="仿宋" w:eastAsia="仿宋" w:cs="仿宋"/>
                <w:i w:val="0"/>
                <w:iCs w:val="0"/>
                <w:caps w:val="0"/>
                <w:color w:val="000000"/>
                <w:spacing w:val="0"/>
                <w:kern w:val="0"/>
                <w:sz w:val="24"/>
                <w:szCs w:val="24"/>
                <w:lang w:val="en-US" w:eastAsia="zh-CN" w:bidi="ar"/>
              </w:rPr>
              <w:t>单科（满分</w:t>
            </w: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=100</w:t>
            </w:r>
            <w:r>
              <w:rPr>
                <w:rStyle w:val="4"/>
                <w:rFonts w:hint="eastAsia" w:ascii="仿宋" w:hAnsi="仿宋" w:eastAsia="仿宋" w:cs="仿宋"/>
                <w:i w:val="0"/>
                <w:iCs w:val="0"/>
                <w:caps w:val="0"/>
                <w:color w:val="000000"/>
                <w:spacing w:val="0"/>
                <w:kern w:val="0"/>
                <w:sz w:val="24"/>
                <w:szCs w:val="24"/>
                <w:lang w:val="en-US" w:eastAsia="zh-CN" w:bidi="ar"/>
              </w:rPr>
              <w:t>分）</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eastAsia" w:ascii="仿宋" w:hAnsi="仿宋" w:eastAsia="仿宋" w:cs="仿宋"/>
                <w:i w:val="0"/>
                <w:iCs w:val="0"/>
                <w:caps w:val="0"/>
                <w:color w:val="000000"/>
                <w:spacing w:val="0"/>
                <w:kern w:val="0"/>
                <w:sz w:val="24"/>
                <w:szCs w:val="24"/>
                <w:lang w:val="en-US" w:eastAsia="zh-CN" w:bidi="ar"/>
              </w:rPr>
              <w:t>单科（满分</w:t>
            </w: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&gt;100</w:t>
            </w:r>
            <w:r>
              <w:rPr>
                <w:rStyle w:val="4"/>
                <w:rFonts w:hint="eastAsia" w:ascii="仿宋" w:hAnsi="仿宋" w:eastAsia="仿宋" w:cs="仿宋"/>
                <w:i w:val="0"/>
                <w:iCs w:val="0"/>
                <w:caps w:val="0"/>
                <w:color w:val="000000"/>
                <w:spacing w:val="0"/>
                <w:kern w:val="0"/>
                <w:sz w:val="24"/>
                <w:szCs w:val="24"/>
                <w:lang w:val="en-US" w:eastAsia="zh-CN" w:bidi="ar"/>
              </w:rPr>
              <w:t>分）</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eastAsia" w:ascii="仿宋" w:hAnsi="仿宋" w:eastAsia="仿宋" w:cs="仿宋"/>
                <w:i w:val="0"/>
                <w:iCs w:val="0"/>
                <w:caps w:val="0"/>
                <w:color w:val="000000"/>
                <w:spacing w:val="0"/>
                <w:kern w:val="0"/>
                <w:sz w:val="24"/>
                <w:szCs w:val="24"/>
                <w:lang w:val="en-US" w:eastAsia="zh-CN" w:bidi="ar"/>
              </w:rPr>
              <w:t>总分</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0302Z1</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民族政治学</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85</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290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120401</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行政管理</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50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95</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370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035101</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法律（非法学）（专业学位）</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55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85</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327</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035102</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法律（法学）（专业学位）</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40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85</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300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030401</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民族学</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40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90</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326</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030403</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中国少数民族经济</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40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65</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310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120202</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企业管理</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45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65</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280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045101</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教育管理（专业学位）</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40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90</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320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030505</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思想政治教育</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40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90</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335</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070104</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应用数学</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50</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270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071300</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生态学</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65</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255</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050301</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新闻学</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80</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270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285" w:hRule="atLeast"/>
          <w:tblCellSpacing w:w="0" w:type="dxa"/>
          <w:jc w:val="center"/>
        </w:trPr>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Style w:val="4"/>
                <w:rFonts w:hint="default" w:ascii="Times New Roman" w:hAnsi="Times New Roman" w:cs="Times New Roman" w:eastAsiaTheme="minorEastAsia"/>
                <w:i w:val="0"/>
                <w:iCs w:val="0"/>
                <w:caps w:val="0"/>
                <w:color w:val="000000"/>
                <w:spacing w:val="0"/>
                <w:kern w:val="0"/>
                <w:sz w:val="24"/>
                <w:szCs w:val="24"/>
                <w:lang w:val="en-US" w:eastAsia="zh-CN" w:bidi="ar"/>
              </w:rPr>
              <w:t>065100</w:t>
            </w:r>
          </w:p>
        </w:tc>
        <w:tc>
          <w:tcPr>
            <w:tcW w:w="4111"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4"/>
                <w:szCs w:val="24"/>
                <w:lang w:val="en-US" w:eastAsia="zh-CN" w:bidi="ar"/>
              </w:rPr>
              <w:t>文物与博物馆（专业学位）</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40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200</w:t>
            </w:r>
          </w:p>
        </w:tc>
        <w:tc>
          <w:tcPr>
            <w:tcW w:w="993"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4"/>
                <w:szCs w:val="24"/>
                <w:lang w:val="en-US" w:eastAsia="zh-CN" w:bidi="ar"/>
              </w:rPr>
              <w:t>320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各专项计划单列，不参与非专项计划考生排名，复试成绩合格者根据专项计划招生计划数按综合成绩择优录取。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我复试工作安排在2022年3月24日以后陆续启动，具体以各培养单位复试通知为准。复试形式为线上复试，平台为中国移动“云考场”。考生须认真阅读《云南大学2022年硕士研究生招生复试及录取工作实施办法》并按照《云南大学2022年硕士研究生远程网络复试指南》提前做好相关准备。请考生关注云南大学研究生院网站（http://www.grs.ynu.edu.cn/）以及“云南大学研究生招生”微信公众号以及各培养单位网站公布的复试工作办法以及复试工作群。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考生可于3月24日下午14：30以后登录我校硕士研究生招生信息管理系统（https://stuyz.ynu.edu.cn/）查</w:t>
      </w:r>
      <w:bookmarkStart w:id="0" w:name="_GoBack"/>
      <w:bookmarkEnd w:id="0"/>
      <w:r>
        <w:rPr>
          <w:rFonts w:hint="eastAsia" w:ascii="宋体" w:hAnsi="宋体" w:eastAsia="宋体" w:cs="宋体"/>
          <w:sz w:val="24"/>
          <w:szCs w:val="32"/>
        </w:rPr>
        <w:t>询本人进入复试情况并下载复试通知书。符合我校复试要求的考生，请注意接听各培养单位的电话和及时加入复试工作群，认真准备复试，耐心等待后续通知。对于达到国家线要求，但未达到我校各专业复试线的考生，建议及时关注调剂信息，积极准备，尽力争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所有关于研究生招生考试的信息均以中国研究生招生信息网（https://yz.chsi.com.cn/）、云南大学研究生院（http://www.grs.ynu.edu.cn/）以及“云南大学研究生招生”微信公众号公布的为准，我校未授权任何社会机构、个人及网站发布研究生招生考试相关信息，未举办任何考试培训班，也未委托任何培训机构开展复试培训工作。敬请各位考生通过以上提供的官方渠道查询各类信息，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特此通知</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B196D"/>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2022-03-25T07:08:36Z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