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文学与新闻传播学院2022年硕士研究生调剂工作方案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文学与新闻传播学院2022年硕士研究生网上调剂系统于4月6日0:00正式开通，4月6日14:00关闭，收到复试通知的调剂考生应按通知要求进行复试确认、参加学院网络远程模拟复试演练和网络远程正式复试，具体事项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一、接收调剂专业、调剂名额及要求</w:t>
      </w:r>
    </w:p>
    <w:tbl>
      <w:tblPr>
        <w:tblW w:w="1012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05"/>
        <w:gridCol w:w="726"/>
        <w:gridCol w:w="930"/>
        <w:gridCol w:w="975"/>
        <w:gridCol w:w="1035"/>
        <w:gridCol w:w="1305"/>
        <w:gridCol w:w="1350"/>
        <w:gridCol w:w="2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学院</w:t>
            </w:r>
          </w:p>
        </w:tc>
        <w:tc>
          <w:tcPr>
            <w:tcW w:w="726"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代码</w:t>
            </w:r>
          </w:p>
        </w:tc>
        <w:tc>
          <w:tcPr>
            <w:tcW w:w="93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名称</w:t>
            </w:r>
          </w:p>
        </w:tc>
        <w:tc>
          <w:tcPr>
            <w:tcW w:w="975"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方式</w:t>
            </w:r>
          </w:p>
        </w:tc>
        <w:tc>
          <w:tcPr>
            <w:tcW w:w="1035"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拟调剂人数</w:t>
            </w:r>
          </w:p>
        </w:tc>
        <w:tc>
          <w:tcPr>
            <w:tcW w:w="1305"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调剂系统</w:t>
            </w:r>
            <w:r>
              <w:rPr>
                <w:rStyle w:val="5"/>
                <w:rFonts w:hint="eastAsia" w:ascii="宋体" w:hAnsi="宋体" w:eastAsia="宋体" w:cs="宋体"/>
                <w:i w:val="0"/>
                <w:iCs w:val="0"/>
                <w:caps w:val="0"/>
                <w:color w:val="262626"/>
                <w:spacing w:val="0"/>
                <w:sz w:val="24"/>
                <w:szCs w:val="24"/>
                <w:bdr w:val="none" w:color="auto" w:sz="0" w:space="0"/>
              </w:rPr>
              <w:br w:type="textWrapping"/>
            </w:r>
            <w:r>
              <w:rPr>
                <w:rStyle w:val="5"/>
                <w:rFonts w:hint="eastAsia" w:ascii="宋体" w:hAnsi="宋体" w:eastAsia="宋体" w:cs="宋体"/>
                <w:i w:val="0"/>
                <w:iCs w:val="0"/>
                <w:caps w:val="0"/>
                <w:color w:val="262626"/>
                <w:spacing w:val="0"/>
                <w:sz w:val="24"/>
                <w:szCs w:val="24"/>
                <w:bdr w:val="none" w:color="auto" w:sz="0" w:space="0"/>
              </w:rPr>
              <w:t>开通时间</w:t>
            </w:r>
          </w:p>
        </w:tc>
        <w:tc>
          <w:tcPr>
            <w:tcW w:w="135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调剂系统</w:t>
            </w:r>
            <w:r>
              <w:rPr>
                <w:rStyle w:val="5"/>
                <w:rFonts w:hint="eastAsia" w:ascii="宋体" w:hAnsi="宋体" w:eastAsia="宋体" w:cs="宋体"/>
                <w:i w:val="0"/>
                <w:iCs w:val="0"/>
                <w:caps w:val="0"/>
                <w:color w:val="262626"/>
                <w:spacing w:val="0"/>
                <w:sz w:val="24"/>
                <w:szCs w:val="24"/>
                <w:bdr w:val="none" w:color="auto" w:sz="0" w:space="0"/>
              </w:rPr>
              <w:br w:type="textWrapping"/>
            </w:r>
            <w:r>
              <w:rPr>
                <w:rStyle w:val="5"/>
                <w:rFonts w:hint="eastAsia" w:ascii="宋体" w:hAnsi="宋体" w:eastAsia="宋体" w:cs="宋体"/>
                <w:i w:val="0"/>
                <w:iCs w:val="0"/>
                <w:caps w:val="0"/>
                <w:color w:val="262626"/>
                <w:spacing w:val="0"/>
                <w:sz w:val="24"/>
                <w:szCs w:val="24"/>
                <w:bdr w:val="none" w:color="auto" w:sz="0" w:space="0"/>
              </w:rPr>
              <w:t>关闭时间</w:t>
            </w:r>
          </w:p>
        </w:tc>
        <w:tc>
          <w:tcPr>
            <w:tcW w:w="2794"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5"/>
                <w:rFonts w:hint="eastAsia" w:ascii="宋体" w:hAnsi="宋体" w:eastAsia="宋体" w:cs="宋体"/>
                <w:i w:val="0"/>
                <w:iCs w:val="0"/>
                <w:caps w:val="0"/>
                <w:color w:val="262626"/>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7" w:hRule="atLeast"/>
          <w:tblCellSpacing w:w="0" w:type="dxa"/>
          <w:jc w:val="center"/>
        </w:trPr>
        <w:tc>
          <w:tcPr>
            <w:tcW w:w="1005"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文学与新闻传播学院</w:t>
            </w:r>
          </w:p>
        </w:tc>
        <w:tc>
          <w:tcPr>
            <w:tcW w:w="726"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050101</w:t>
            </w:r>
          </w:p>
        </w:tc>
        <w:tc>
          <w:tcPr>
            <w:tcW w:w="93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文艺学</w:t>
            </w:r>
          </w:p>
        </w:tc>
        <w:tc>
          <w:tcPr>
            <w:tcW w:w="975"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全日制</w:t>
            </w:r>
          </w:p>
        </w:tc>
        <w:tc>
          <w:tcPr>
            <w:tcW w:w="1035"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6名</w:t>
            </w:r>
          </w:p>
        </w:tc>
        <w:tc>
          <w:tcPr>
            <w:tcW w:w="1305"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2022.04.6,00:00</w:t>
            </w:r>
          </w:p>
        </w:tc>
        <w:tc>
          <w:tcPr>
            <w:tcW w:w="1350"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2022.04.6,14:00</w:t>
            </w:r>
          </w:p>
        </w:tc>
        <w:tc>
          <w:tcPr>
            <w:tcW w:w="2794" w:type="dxa"/>
            <w:vMerge w:val="restart"/>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1.接受一志愿报考文艺学（050101）、中国古代文学（050105）、中国现当代文学（050106）、比较文学与世界文学（050108）方向的考生。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2.调剂考生的本科专业为中国语言文学大类专业。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3.调剂考生的英语和政治初试成绩均不低于60分。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tblCellSpacing w:w="0" w:type="dxa"/>
          <w:jc w:val="center"/>
        </w:trPr>
        <w:tc>
          <w:tcPr>
            <w:tcW w:w="1005"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文学与新闻传播学院</w:t>
            </w:r>
          </w:p>
        </w:tc>
        <w:tc>
          <w:tcPr>
            <w:tcW w:w="726"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050106</w:t>
            </w:r>
          </w:p>
        </w:tc>
        <w:tc>
          <w:tcPr>
            <w:tcW w:w="930" w:type="dxa"/>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中国现当代文学</w:t>
            </w:r>
          </w:p>
        </w:tc>
        <w:tc>
          <w:tcPr>
            <w:tcW w:w="975"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全日制</w:t>
            </w:r>
          </w:p>
        </w:tc>
        <w:tc>
          <w:tcPr>
            <w:tcW w:w="1035"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2名</w:t>
            </w:r>
          </w:p>
        </w:tc>
        <w:tc>
          <w:tcPr>
            <w:tcW w:w="1305"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2022.04.6,00:00</w:t>
            </w:r>
          </w:p>
        </w:tc>
        <w:tc>
          <w:tcPr>
            <w:tcW w:w="1350" w:type="dxa"/>
            <w:tcBorders>
              <w:top w:val="single" w:color="333333" w:sz="6" w:space="0"/>
              <w:left w:val="single" w:color="333333" w:sz="6" w:space="0"/>
              <w:bottom w:val="single" w:color="333333" w:sz="6" w:space="0"/>
              <w:right w:val="single" w:color="333333" w:sz="6" w:space="0"/>
            </w:tcBorders>
            <w:shd w:val="clear"/>
            <w:noWrap/>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i w:val="0"/>
                <w:iCs w:val="0"/>
                <w:caps w:val="0"/>
                <w:color w:val="262626"/>
                <w:spacing w:val="0"/>
                <w:sz w:val="24"/>
                <w:szCs w:val="24"/>
                <w:bdr w:val="none" w:color="auto" w:sz="0" w:space="0"/>
              </w:rPr>
              <w:t>2022.04.6,14:00</w:t>
            </w:r>
          </w:p>
        </w:tc>
        <w:tc>
          <w:tcPr>
            <w:tcW w:w="2794" w:type="dxa"/>
            <w:vMerge w:val="continue"/>
            <w:tcBorders>
              <w:top w:val="single" w:color="333333" w:sz="6" w:space="0"/>
              <w:left w:val="single" w:color="333333" w:sz="6" w:space="0"/>
              <w:bottom w:val="single" w:color="333333" w:sz="6" w:space="0"/>
              <w:right w:val="single" w:color="333333" w:sz="6" w:space="0"/>
            </w:tcBorders>
            <w:shd w:val="clear"/>
            <w:tcMar>
              <w:left w:w="105" w:type="dxa"/>
              <w:right w:w="105" w:type="dxa"/>
            </w:tcMar>
            <w:vAlign w:val="center"/>
          </w:tcPr>
          <w:p>
            <w:pPr>
              <w:rPr>
                <w:rFonts w:hint="eastAsia" w:ascii="宋体" w:hAnsi="宋体" w:eastAsia="宋体" w:cs="宋体"/>
                <w:i w:val="0"/>
                <w:iCs w:val="0"/>
                <w:caps w:val="0"/>
                <w:color w:val="262626"/>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二、调剂考生遴选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遴选参加复试考生的依据：学院复试工作小组依据调剂考生本科专业、原报考学科（专业）、初试科目、初试成绩、考生科研和获奖情况等因素综合评价，确定调剂考生名单并上报研究生院，经研究生院批准之后，在学院网站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2.对申请同一学科（专业）、初试科目完全相同的调剂考生，学院按考生初试成绩总分择优遴选进入复试的考生名单。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3.调剂复试实行差额复试，按调剂指标的200%确定复试考生。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三、调剂程序及要求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1．所有调剂考生（含校内调剂）通过“全国硕士生招生调剂服务系统”进行调剂（各加分项目考生、享受少数民族政策考生除外），否则无效。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我院不接受“少数民族高层次骨干人才计划”和“退役大学生士兵计划”考生调剂。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在教育部“全国硕士生招生调剂服务系统”公布需调剂的专业、调剂缺额及分数和其他学术要求。每次开放调剂系统持续时间不少于12个小时。学院网上审核申请调剂考生的报考信息并择优挑选符合条件考生加入复试考生备选库，持续开放时间结束之前不会向考生发送复试通知，也不会进行解锁考生志愿的操作；我院设定的考生志愿系统自动解锁时间为24小时，24小时后，考生未收到复试通知，系统自动解锁，考生可以重新申报其他调剂志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4．系统开放12小时后(如在12小时内未调剂够合格生源，将视情况适当延长开放时间)，我院开始确定符合调剂要求的考生名单，经研究生院审核后，通过“全国硕士生招生调剂服务系统”向考生发送复试通知。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5．考生接到复试通知短信后，应在4小时内尽快确认接收复试通知，并按照我院的复试安排参加复试。未在规定时间内确认接受复试通知的调剂考生视为自愿放弃复试资格。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确认接受复试通知的考生应做好复试准备，在企业微信平台上提交复试材料电子版，并密切留意学院教务老师对复试材料的审核状态，如复试材料审核不通过被驳回，应根据提示及时修改后重新上传。考生应保持手机畅通，随时接收学院有关网络远程复试模拟演练和正式网络复试的相关短信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复试完成后，我院将根据复试结果和调剂招生名额择优确定待录取名单，经研究生院批准之后通过“全国硕士生招生调剂服务系统”向复试合格且拟录取的考生发送“待录取”通知，收到“待录取”通知的考生须在6小时内确认接受“待录取”，逾期不确认接受“待录取”将视为考生自愿放弃“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8．我院将视调剂情况可能多次开放调剂系统进行调剂（每次调剂开放时间不少于12小时），我院将根据复试批次，按调剂考生总成绩（初试总成绩+复试总成绩）分批次排名，分批次录取。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通过“全国硕士生招生调剂服务系统”确认接受我校“待录取”通知的考生，我院不再接受考生放弃我校“待录取”资格的申请；通过“全国硕士生招生调剂服务系统”确认接受了其他招生单位、或其他培养单位、或其他专业“待录取”通知的考生，视为自动放弃录取资格，我院将按总成绩高低顺次录取该调剂专业下一位复试合格调剂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四、调剂注意事项及特别提示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1．复试确认时须填写常用联系手机号码并保持手机畅通。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2．申请调剂的考生务必及时确认接受“全国硕士生招生调剂服务系统”复试通知和待录取通知，逾期视为自动放弃复试资格和待录取资格。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3.接收到复试通知的考生，务必仔细阅读我院网站主页公布的复试安排及相关规定。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657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2022-04-13T09:47:08Z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