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城市设计学院2022年硕士研究生招生调剂公告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武汉大学《关于做好2022年硕士研究生复试录取工作的通知》和《武汉大学城市设计学院2022年硕士研究生复试录取工作实施细则》等相关文件的要求，根据一志愿考生复试录取情况，我院相关专业有一定数量的招生计划，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一、接收调剂专业、分数线及招生计划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25"/>
        <w:gridCol w:w="1057"/>
        <w:gridCol w:w="1301"/>
        <w:gridCol w:w="956"/>
        <w:gridCol w:w="956"/>
        <w:gridCol w:w="1159"/>
        <w:gridCol w:w="834"/>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专业</w:t>
            </w:r>
          </w:p>
        </w:tc>
        <w:tc>
          <w:tcPr>
            <w:tcW w:w="4005" w:type="dxa"/>
            <w:gridSpan w:val="5"/>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调剂复试分数线</w:t>
            </w:r>
          </w:p>
        </w:tc>
        <w:tc>
          <w:tcPr>
            <w:tcW w:w="615"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调剂招生计划</w:t>
            </w:r>
          </w:p>
        </w:tc>
        <w:tc>
          <w:tcPr>
            <w:tcW w:w="1365" w:type="dxa"/>
            <w:vMerge w:val="restart"/>
            <w:tcBorders>
              <w:top w:val="single" w:color="000000" w:sz="6" w:space="0"/>
              <w:left w:val="nil"/>
              <w:bottom w:val="single" w:color="000000" w:sz="6" w:space="0"/>
              <w:right w:val="single" w:color="000000" w:sz="6" w:space="0"/>
            </w:tcBorders>
            <w:shd w:val="clear" w:color="auto" w:fill="FFFFFF"/>
            <w:tcMar>
              <w:top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招生类型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63" w:beforeLines="20" w:after="4" w:line="240" w:lineRule="auto"/>
              <w:ind w:firstLine="0"/>
              <w:jc w:val="center"/>
              <w:rPr>
                <w:rFonts w:hint="eastAsia" w:ascii="宋体" w:hAnsi="宋体" w:eastAsia="宋体" w:cs="宋体"/>
                <w:i w:val="0"/>
                <w:iCs w:val="0"/>
                <w:caps w:val="0"/>
                <w:color w:val="000000"/>
                <w:spacing w:val="0"/>
                <w:sz w:val="24"/>
                <w:szCs w:val="24"/>
              </w:rPr>
            </w:pPr>
          </w:p>
        </w:tc>
        <w:tc>
          <w:tcPr>
            <w:tcW w:w="78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总分</w:t>
            </w:r>
          </w:p>
        </w:tc>
        <w:tc>
          <w:tcPr>
            <w:tcW w:w="96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英语</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政治</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专业1</w:t>
            </w:r>
          </w:p>
        </w:tc>
        <w:tc>
          <w:tcPr>
            <w:tcW w:w="85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Style w:val="5"/>
                <w:rFonts w:hint="eastAsia" w:ascii="宋体" w:hAnsi="宋体" w:eastAsia="宋体" w:cs="宋体"/>
                <w:b/>
                <w:bCs/>
                <w:i w:val="0"/>
                <w:iCs w:val="0"/>
                <w:caps w:val="0"/>
                <w:color w:val="000000"/>
                <w:spacing w:val="0"/>
                <w:sz w:val="24"/>
                <w:szCs w:val="24"/>
                <w:bdr w:val="none" w:color="auto" w:sz="0" w:space="0"/>
                <w:vertAlign w:val="baseline"/>
              </w:rPr>
              <w:t>专业2</w:t>
            </w:r>
          </w:p>
        </w:tc>
        <w:tc>
          <w:tcPr>
            <w:tcW w:w="615"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before="63" w:beforeLines="20" w:after="4" w:line="240" w:lineRule="auto"/>
              <w:ind w:firstLine="0"/>
              <w:jc w:val="center"/>
              <w:rPr>
                <w:rFonts w:hint="eastAsia" w:ascii="宋体" w:hAnsi="宋体" w:eastAsia="宋体" w:cs="宋体"/>
                <w:i w:val="0"/>
                <w:iCs w:val="0"/>
                <w:caps w:val="0"/>
                <w:color w:val="000000"/>
                <w:spacing w:val="0"/>
                <w:sz w:val="24"/>
                <w:szCs w:val="24"/>
              </w:rPr>
            </w:pPr>
          </w:p>
        </w:tc>
        <w:tc>
          <w:tcPr>
            <w:tcW w:w="1365" w:type="dxa"/>
            <w:vMerge w:val="continue"/>
            <w:tcBorders>
              <w:top w:val="single" w:color="000000" w:sz="6" w:space="0"/>
              <w:left w:val="nil"/>
              <w:bottom w:val="single" w:color="000000" w:sz="6" w:space="0"/>
              <w:right w:val="single" w:color="000000" w:sz="6" w:space="0"/>
            </w:tcBorders>
            <w:shd w:val="clear" w:color="auto" w:fill="FFFFFF"/>
            <w:tcMar>
              <w:top w:w="15" w:type="dxa"/>
            </w:tcMar>
            <w:vAlign w:val="top"/>
          </w:tcPr>
          <w:p>
            <w:pPr>
              <w:keepNext w:val="0"/>
              <w:keepLines w:val="0"/>
              <w:pageBreakBefore w:val="0"/>
              <w:widowControl/>
              <w:kinsoku/>
              <w:wordWrap/>
              <w:overflowPunct/>
              <w:topLinePunct w:val="0"/>
              <w:autoSpaceDE/>
              <w:autoSpaceDN/>
              <w:bidi w:val="0"/>
              <w:adjustRightInd/>
              <w:snapToGrid/>
              <w:spacing w:before="63" w:beforeLines="20" w:after="4" w:line="240" w:lineRule="auto"/>
              <w:ind w:firstLine="0"/>
              <w:jc w:val="center"/>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0813Z1数字化设计与仿真</w:t>
            </w:r>
          </w:p>
        </w:tc>
        <w:tc>
          <w:tcPr>
            <w:tcW w:w="78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355</w:t>
            </w:r>
          </w:p>
        </w:tc>
        <w:tc>
          <w:tcPr>
            <w:tcW w:w="96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55</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60</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85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61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2</w:t>
            </w:r>
          </w:p>
        </w:tc>
        <w:tc>
          <w:tcPr>
            <w:tcW w:w="1365" w:type="dxa"/>
            <w:tcBorders>
              <w:top w:val="nil"/>
              <w:left w:val="nil"/>
              <w:bottom w:val="single" w:color="000000" w:sz="6" w:space="0"/>
              <w:right w:val="single" w:color="000000" w:sz="6" w:space="0"/>
            </w:tcBorders>
            <w:shd w:val="clear" w:color="auto" w:fill="FFFFFF"/>
            <w:tcMar>
              <w:top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130500设计学</w:t>
            </w:r>
          </w:p>
        </w:tc>
        <w:tc>
          <w:tcPr>
            <w:tcW w:w="78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361</w:t>
            </w:r>
          </w:p>
        </w:tc>
        <w:tc>
          <w:tcPr>
            <w:tcW w:w="96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45</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60</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85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61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3</w:t>
            </w:r>
          </w:p>
        </w:tc>
        <w:tc>
          <w:tcPr>
            <w:tcW w:w="1365" w:type="dxa"/>
            <w:tcBorders>
              <w:top w:val="nil"/>
              <w:left w:val="nil"/>
              <w:bottom w:val="single" w:color="000000" w:sz="6" w:space="0"/>
              <w:right w:val="single" w:color="000000" w:sz="6" w:space="0"/>
            </w:tcBorders>
            <w:shd w:val="clear" w:color="auto" w:fill="FFFFFF"/>
            <w:tcMar>
              <w:top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2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085100建筑学</w:t>
            </w:r>
          </w:p>
        </w:tc>
        <w:tc>
          <w:tcPr>
            <w:tcW w:w="78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330</w:t>
            </w:r>
          </w:p>
        </w:tc>
        <w:tc>
          <w:tcPr>
            <w:tcW w:w="96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55</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60</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85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61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12</w:t>
            </w:r>
          </w:p>
        </w:tc>
        <w:tc>
          <w:tcPr>
            <w:tcW w:w="1365" w:type="dxa"/>
            <w:tcBorders>
              <w:top w:val="nil"/>
              <w:left w:val="nil"/>
              <w:bottom w:val="single" w:color="000000" w:sz="6" w:space="0"/>
              <w:right w:val="single" w:color="000000" w:sz="6" w:space="0"/>
            </w:tcBorders>
            <w:shd w:val="clear" w:color="auto" w:fill="FFFFFF"/>
            <w:tcMar>
              <w:top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1125"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085300城市规划</w:t>
            </w:r>
          </w:p>
        </w:tc>
        <w:tc>
          <w:tcPr>
            <w:tcW w:w="78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350</w:t>
            </w:r>
          </w:p>
        </w:tc>
        <w:tc>
          <w:tcPr>
            <w:tcW w:w="960"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55</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60</w:t>
            </w:r>
          </w:p>
        </w:tc>
        <w:tc>
          <w:tcPr>
            <w:tcW w:w="70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85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90</w:t>
            </w:r>
          </w:p>
        </w:tc>
        <w:tc>
          <w:tcPr>
            <w:tcW w:w="615" w:type="dxa"/>
            <w:tcBorders>
              <w:top w:val="nil"/>
              <w:left w:val="nil"/>
              <w:bottom w:val="single" w:color="000000" w:sz="6" w:space="0"/>
              <w:right w:val="single" w:color="000000" w:sz="6" w:space="0"/>
            </w:tcBorders>
            <w:shd w:val="clear" w:color="auto" w:fill="FFFFFF"/>
            <w:tcMar>
              <w:top w:w="15" w:type="dxa"/>
              <w:left w:w="15" w:type="dxa"/>
              <w:right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15</w:t>
            </w:r>
          </w:p>
        </w:tc>
        <w:tc>
          <w:tcPr>
            <w:tcW w:w="1365" w:type="dxa"/>
            <w:tcBorders>
              <w:top w:val="nil"/>
              <w:left w:val="nil"/>
              <w:bottom w:val="single" w:color="000000" w:sz="6" w:space="0"/>
              <w:right w:val="single" w:color="000000" w:sz="6" w:space="0"/>
            </w:tcBorders>
            <w:shd w:val="clear" w:color="auto" w:fill="FFFFFF"/>
            <w:tcMar>
              <w:top w:w="1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4" w:afterAutospacing="0" w:line="240" w:lineRule="auto"/>
              <w:ind w:left="0" w:right="0" w:firstLine="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vertAlign w:val="baseline"/>
              </w:rPr>
              <w:t>非全日制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80" w:firstLineChars="200"/>
        <w:jc w:val="left"/>
        <w:textAlignment w:val="baseline"/>
        <w:rPr>
          <w:rFonts w:hint="default" w:ascii="宋体" w:hAnsi="宋体" w:eastAsia="宋体" w:cs="宋体"/>
          <w:kern w:val="2"/>
          <w:sz w:val="24"/>
          <w:szCs w:val="32"/>
          <w:lang w:val="en-US" w:eastAsia="zh-CN" w:bidi="ar-SA"/>
        </w:rPr>
      </w:pPr>
      <w:r>
        <w:rPr>
          <w:rFonts w:hint="eastAsia" w:ascii="宋体" w:hAnsi="宋体" w:eastAsia="宋体" w:cs="宋体"/>
          <w:kern w:val="2"/>
          <w:sz w:val="24"/>
          <w:szCs w:val="32"/>
          <w:lang w:val="en-US" w:eastAsia="zh-CN" w:bidi="ar-SA"/>
        </w:rPr>
        <w:t>二、接收调剂的条件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符合《武汉大学2022年招收攻读硕士学位研究生简章》中规定的调入专业的报考条件，初试成绩须达到调出学科专业国家线及学院调入学科专业复试分数线（含单科分数线及总分数线）（见上表）。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建筑学一级学科的相关专业（含0813Z1和085100（非全日制））接受第一志愿报考建筑学、城市规划、风景园林学、城乡规划学；城市规划（非全日制）接受第一志愿报考建筑学、城市规划、风景园林学、城乡规划学、人文地理学；设计学一级学科接受设计学等相关学科的考生申请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3、初试科目与调入专业初试科目相同或相近，其中统考科目相同（要求初试科目英语一）。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根据《武汉大学2022年招收攻读硕士学位研究生简章》要求，考生如申请调入非全日制专业，须于系统填报结束前将定向单位委培函或在职证明或劳动合同和《城市设计学院申请调剂考生信息表》（见附件）等证明材料提交至指定邮箱（见六、联系方式）；考生如申请调入全日制专业需在系统报名的同时，提交《城市设计学院申请调剂考生信息表》（见附件）至邮箱（见六、联系方式），邮件主题均为“调剂+姓名+拟调剂专业代码”，经学院审核满足相关接受调剂专业的要求方可参加调剂复试；非全日制考生需在录取前签订定向协议，未签订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5、我院将综合考虑考生初试成绩、考生本科所在的学科整体水平、考生个人学术能力和培养潜力等相关因素，择优遴选并确定进入调剂复试的考生名单。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6、对申请同一专业、初试科目完全相同的调剂考生，按考生初试成绩择优遴选进入调剂复试的考生名单。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7、所有调剂工作必须通过教育部指定的“全国硕士生招生调剂服务系统”进行。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8、确定进入调剂复试名单的考生必须参加学院组织的统一复试。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9、不接收报考单独考试和“强军计划”“少数民族高层次骨干人才计划”“退役大学生士兵计划”等专项计划的调剂考生。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w:t>
      </w:r>
      <w:bookmarkStart w:id="0" w:name="_GoBack"/>
      <w:bookmarkEnd w:id="0"/>
      <w:r>
        <w:rPr>
          <w:rFonts w:hint="eastAsia" w:ascii="宋体" w:hAnsi="宋体" w:eastAsia="宋体" w:cs="宋体"/>
          <w:sz w:val="24"/>
          <w:szCs w:val="32"/>
        </w:rPr>
        <w:t>申请流程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按照教育部要求，所有调剂须在“全国硕士生招生调剂服务系统”进行。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1、申请本院调剂的考生须于4月 6日12:00:00—4月 7 日08:00:00期间登录系统填报调剂志愿，视报名情况截止时间可能调整，但不少于12小时。申请结束后本院将择优遴选进入调剂复试的考生名单并予以公布。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2、经过遴选的考生名单将在上报研究生院审批后经过学院官网公示并通过研招网调剂系统向考生发送复试通知。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3、考生在规定时间内登陆国家调剂系统接受复试通知，并按照学院安排参加复试。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4、复试后，学院通过研招网调剂系统向拟录取的考生发送拟录取通知，拟录取考生必须在规定时间内登陆调剂系统接受拟录取，否则取消拟录取资格。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5、未在国家调剂系统提出调剂申请者不予调剂招收。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1、复试方式：本次调剂复试采用网络远程的方式。具体内容可参考学院官方网站已发布的《武汉大学城市设计学院2022年硕士研究生复试录取工作实施细则》。复试方法及具体时间、地点等另行通知。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2、调剂复试时间：2022年4月15日左右。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不在规定时间参加调剂复试的考生作自动弃权处理。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五、其他事项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1、非全日制颁发毕业证（注明“非全日制学习”）和学位证（全日制和非全日制相同）。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2、报考材料弄虚作假者，一律不能参加复试。入学后发现此类情况的，取消其学籍。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3、在“全国硕士生招生调剂服务系统”申请调剂但不符合调剂条件的考生，学院有权取消其复试及录取资格。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4、拟录取考生必须按学校规定时间寄（送）档案、政审表等资料。定向就业学生不转档案，但须由考生所在单位组织人事部门填写政审表。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5、若有拟录取考生放弃调剂，则按考生总评成绩由高到低依次递补。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未尽事宜详见本院2022年硕士研究生复试录取工作实施细则。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联系电话：：027-68774470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联系人：向老师，咨询时间：8:30-11:30，14:00-16:00(工作日）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学院咨询及接收材料邮箱：jxiang72@whu.edu.cn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本细则由学院研究生招生领导小组负责解释。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武汉大学城市设计学院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宋体" w:hAnsi="宋体" w:eastAsia="宋体" w:cs="宋体"/>
          <w:sz w:val="24"/>
          <w:szCs w:val="32"/>
        </w:rPr>
      </w:pPr>
      <w:r>
        <w:rPr>
          <w:rFonts w:hint="eastAsia" w:ascii="宋体" w:hAnsi="宋体" w:eastAsia="宋体" w:cs="宋体"/>
          <w:sz w:val="24"/>
          <w:szCs w:val="32"/>
        </w:rPr>
        <w:t>2022-04-02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007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2022-04-14T10:13:27Z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