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00" w:beforeAutospacing="1" w:after="100" w:afterAutospacing="1" w:line="540" w:lineRule="exact"/>
        <w:jc w:val="center"/>
        <w:rPr>
          <w:rFonts w:hint="eastAsia" w:ascii="宋体" w:hAnsi="宋体" w:eastAsia="宋体" w:cs="宋体"/>
          <w:b/>
          <w:color w:val="333333"/>
          <w:kern w:val="0"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color w:val="333333"/>
          <w:kern w:val="0"/>
          <w:sz w:val="30"/>
          <w:szCs w:val="30"/>
          <w:lang w:eastAsia="zh-CN"/>
        </w:rPr>
        <w:t>《</w:t>
      </w:r>
      <w:r>
        <w:rPr>
          <w:rFonts w:hint="eastAsia" w:ascii="宋体" w:hAnsi="宋体" w:cs="宋体"/>
          <w:b/>
          <w:color w:val="333333"/>
          <w:kern w:val="0"/>
          <w:sz w:val="30"/>
          <w:szCs w:val="30"/>
        </w:rPr>
        <w:t>机电工程基础</w:t>
      </w:r>
      <w:r>
        <w:rPr>
          <w:rFonts w:hint="eastAsia" w:ascii="宋体" w:hAnsi="宋体" w:cs="宋体"/>
          <w:b/>
          <w:color w:val="333333"/>
          <w:kern w:val="0"/>
          <w:sz w:val="30"/>
          <w:szCs w:val="30"/>
          <w:lang w:eastAsia="zh-CN"/>
        </w:rPr>
        <w:t>》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考试大纲及推荐书目</w:t>
      </w:r>
      <w:bookmarkStart w:id="1" w:name="_GoBack"/>
      <w:bookmarkEnd w:id="1"/>
    </w:p>
    <w:p>
      <w:pPr>
        <w:snapToGrid w:val="0"/>
        <w:spacing w:before="355" w:beforeLines="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一、考试要求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机电工程基础考试内容包括</w:t>
      </w:r>
      <w:r>
        <w:rPr>
          <w:rFonts w:hint="eastAsia" w:ascii="宋体" w:hAnsi="宋体"/>
          <w:b/>
          <w:sz w:val="28"/>
          <w:szCs w:val="28"/>
        </w:rPr>
        <w:t>机械设计基础</w:t>
      </w:r>
      <w:r>
        <w:rPr>
          <w:rFonts w:hint="eastAsia" w:ascii="宋体" w:hAnsi="宋体"/>
          <w:bCs/>
          <w:sz w:val="28"/>
          <w:szCs w:val="28"/>
        </w:rPr>
        <w:t>和</w:t>
      </w:r>
      <w:r>
        <w:rPr>
          <w:rFonts w:hint="eastAsia" w:ascii="宋体" w:hAnsi="宋体"/>
          <w:b/>
          <w:sz w:val="28"/>
          <w:szCs w:val="28"/>
        </w:rPr>
        <w:t>控制工程基础</w:t>
      </w:r>
      <w:r>
        <w:rPr>
          <w:rFonts w:hint="eastAsia" w:ascii="宋体" w:hAnsi="宋体"/>
          <w:bCs/>
          <w:sz w:val="28"/>
          <w:szCs w:val="28"/>
        </w:rPr>
        <w:t>两部分内容，考生可以根据自己实际情况选择一种考试课程作答，不能混答，要求：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了解考试课程研究的基本内容及应用特点；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掌握考试课程内容的基本知识和原理；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掌握考试课程内容的基本方法和技术；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熟练运用所</w:t>
      </w:r>
      <w:bookmarkStart w:id="0" w:name="_Hlk106222142"/>
      <w:r>
        <w:rPr>
          <w:rFonts w:hint="eastAsia" w:ascii="宋体" w:hAnsi="宋体"/>
          <w:sz w:val="28"/>
          <w:szCs w:val="28"/>
        </w:rPr>
        <w:t>考课程内容的基本原理和方法</w:t>
      </w:r>
      <w:bookmarkEnd w:id="0"/>
      <w:r>
        <w:rPr>
          <w:rFonts w:hint="eastAsia" w:ascii="宋体" w:hAnsi="宋体"/>
          <w:sz w:val="28"/>
          <w:szCs w:val="28"/>
        </w:rPr>
        <w:t>针对问题进行计算和分析。</w:t>
      </w:r>
    </w:p>
    <w:p>
      <w:pPr>
        <w:snapToGrid w:val="0"/>
        <w:spacing w:before="355" w:beforeLines="5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</w:t>
      </w:r>
      <w:r>
        <w:rPr>
          <w:rFonts w:hint="eastAsia" w:ascii="宋体" w:hAnsi="宋体"/>
          <w:b/>
          <w:sz w:val="28"/>
          <w:szCs w:val="28"/>
        </w:rPr>
        <w:t>考试</w:t>
      </w:r>
      <w:r>
        <w:rPr>
          <w:rFonts w:hint="eastAsia" w:ascii="宋体" w:hAnsi="宋体"/>
          <w:b/>
          <w:bCs/>
          <w:sz w:val="28"/>
          <w:szCs w:val="28"/>
        </w:rPr>
        <w:t>题型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满分为1</w:t>
      </w:r>
      <w:r>
        <w:rPr>
          <w:rFonts w:ascii="宋体" w:hAnsi="宋体"/>
          <w:sz w:val="28"/>
          <w:szCs w:val="28"/>
        </w:rPr>
        <w:t>50</w:t>
      </w:r>
      <w:r>
        <w:rPr>
          <w:rFonts w:hint="eastAsia" w:ascii="宋体" w:hAnsi="宋体"/>
          <w:sz w:val="28"/>
          <w:szCs w:val="28"/>
        </w:rPr>
        <w:t>分，考试内容为</w:t>
      </w:r>
      <w:r>
        <w:rPr>
          <w:rFonts w:hint="eastAsia" w:ascii="宋体" w:hAnsi="宋体"/>
          <w:b/>
          <w:bCs/>
          <w:sz w:val="28"/>
          <w:szCs w:val="28"/>
        </w:rPr>
        <w:t>机械设计基础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宋体" w:hAnsi="宋体"/>
          <w:b/>
          <w:bCs/>
          <w:sz w:val="28"/>
          <w:szCs w:val="28"/>
        </w:rPr>
        <w:t>控制工程基础</w:t>
      </w:r>
      <w:r>
        <w:rPr>
          <w:rFonts w:hint="eastAsia" w:ascii="宋体" w:hAnsi="宋体"/>
          <w:sz w:val="28"/>
          <w:szCs w:val="28"/>
        </w:rPr>
        <w:t>两种可选考试课程，考生可根据自己的实际情况，只能选择其中一种考试课程作答，不可混答。</w:t>
      </w:r>
    </w:p>
    <w:p>
      <w:pPr>
        <w:snapToGrid w:val="0"/>
        <w:ind w:firstLine="562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机械设计基础</w:t>
      </w:r>
      <w:r>
        <w:rPr>
          <w:rFonts w:hint="eastAsia" w:ascii="宋体" w:hAnsi="宋体"/>
          <w:sz w:val="28"/>
          <w:szCs w:val="28"/>
        </w:rPr>
        <w:t>考试题型为：选择题（3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分），简答题（5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分），计算与分析题（</w:t>
      </w:r>
      <w:r>
        <w:rPr>
          <w:rFonts w:ascii="宋体" w:hAnsi="宋体"/>
          <w:sz w:val="28"/>
          <w:szCs w:val="28"/>
        </w:rPr>
        <w:t>70</w:t>
      </w:r>
      <w:r>
        <w:rPr>
          <w:rFonts w:hint="eastAsia" w:ascii="宋体" w:hAnsi="宋体"/>
          <w:sz w:val="28"/>
          <w:szCs w:val="28"/>
        </w:rPr>
        <w:t>分）。</w:t>
      </w:r>
    </w:p>
    <w:p>
      <w:pPr>
        <w:snapToGrid w:val="0"/>
        <w:ind w:firstLine="562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控制工程基础</w:t>
      </w:r>
      <w:r>
        <w:rPr>
          <w:rFonts w:hint="eastAsia" w:ascii="宋体" w:hAnsi="宋体"/>
          <w:sz w:val="28"/>
          <w:szCs w:val="28"/>
        </w:rPr>
        <w:t>考试题型为：填空（20分），选择（30分），简答（40分）及计算（60分）。</w:t>
      </w:r>
    </w:p>
    <w:p>
      <w:pPr>
        <w:snapToGrid w:val="0"/>
        <w:spacing w:before="355" w:beforeLines="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三、考试大纲内容</w:t>
      </w:r>
    </w:p>
    <w:p>
      <w:pPr>
        <w:snapToGrid w:val="0"/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第一部分：机械设计基础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要求考生熟悉机械原理及机械设计的基本概念、方法和技术。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（1）机械的组成及其作用；机器与机构的区别；构件与零件的区别。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（2）运动副及其分类；平面机构自由度的计算；</w:t>
      </w:r>
      <w:r>
        <w:rPr>
          <w:rFonts w:ascii="宋体" w:hAnsi="宋体"/>
          <w:sz w:val="28"/>
          <w:szCs w:val="28"/>
        </w:rPr>
        <w:t>计算</w:t>
      </w:r>
      <w:r>
        <w:rPr>
          <w:rFonts w:hint="eastAsia" w:ascii="宋体" w:hAnsi="宋体"/>
          <w:sz w:val="28"/>
          <w:szCs w:val="28"/>
        </w:rPr>
        <w:t>平面机构</w:t>
      </w:r>
      <w:r>
        <w:rPr>
          <w:rFonts w:ascii="宋体" w:hAnsi="宋体"/>
          <w:sz w:val="28"/>
          <w:szCs w:val="28"/>
        </w:rPr>
        <w:t>自由度时应注意的问题</w:t>
      </w:r>
      <w:r>
        <w:rPr>
          <w:rFonts w:hint="eastAsia" w:ascii="宋体" w:hAnsi="宋体"/>
          <w:sz w:val="28"/>
          <w:szCs w:val="28"/>
        </w:rPr>
        <w:t>；</w:t>
      </w:r>
      <w:r>
        <w:rPr>
          <w:rFonts w:ascii="宋体" w:hAnsi="宋体"/>
          <w:sz w:val="28"/>
          <w:szCs w:val="28"/>
        </w:rPr>
        <w:t>机构具有确定相对运动的条件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（3）平面连杆机构的基本类型及各种转化机构；</w:t>
      </w:r>
      <w:r>
        <w:rPr>
          <w:rFonts w:ascii="宋体" w:hAnsi="宋体"/>
          <w:sz w:val="28"/>
          <w:szCs w:val="28"/>
        </w:rPr>
        <w:t>铰链四杆机构的急回</w:t>
      </w:r>
      <w:r>
        <w:rPr>
          <w:rFonts w:hint="eastAsia" w:ascii="宋体" w:hAnsi="宋体"/>
          <w:sz w:val="28"/>
          <w:szCs w:val="28"/>
        </w:rPr>
        <w:t>特性、极位夹角及行程速比；机构的</w:t>
      </w:r>
      <w:r>
        <w:rPr>
          <w:rFonts w:ascii="宋体" w:hAnsi="宋体"/>
          <w:sz w:val="28"/>
          <w:szCs w:val="28"/>
        </w:rPr>
        <w:t>压力角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传动角</w:t>
      </w:r>
      <w:r>
        <w:rPr>
          <w:rFonts w:hint="eastAsia" w:ascii="宋体" w:hAnsi="宋体"/>
          <w:sz w:val="28"/>
          <w:szCs w:val="28"/>
        </w:rPr>
        <w:t>及对机构传力性能的影响；机构</w:t>
      </w:r>
      <w:r>
        <w:rPr>
          <w:rFonts w:ascii="宋体" w:hAnsi="宋体"/>
          <w:sz w:val="28"/>
          <w:szCs w:val="28"/>
        </w:rPr>
        <w:t>死点</w:t>
      </w:r>
      <w:r>
        <w:rPr>
          <w:rFonts w:hint="eastAsia" w:ascii="宋体" w:hAnsi="宋体"/>
          <w:sz w:val="28"/>
          <w:szCs w:val="28"/>
        </w:rPr>
        <w:t xml:space="preserve">及存在条件；铰链四杆机构类型的确定。 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（4）凸轮机构的应用和类型；从动件常用的运动规律及特点；刚性冲击和柔性冲击；凸轮基圆半径、压力角、自锁；基圆半径和压力角对机构结构尺寸的影响。</w:t>
      </w:r>
      <w:r>
        <w:rPr>
          <w:rFonts w:ascii="宋体" w:hAnsi="宋体"/>
          <w:sz w:val="28"/>
          <w:szCs w:val="28"/>
        </w:rPr>
        <w:t>设计凸轮机构时应注意的问题（基圆半径、压力角、滚子半径）</w:t>
      </w:r>
      <w:r>
        <w:rPr>
          <w:rFonts w:hint="eastAsia" w:ascii="宋体" w:hAnsi="宋体"/>
          <w:sz w:val="28"/>
          <w:szCs w:val="28"/>
        </w:rPr>
        <w:t>及图解法求其大小。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（5）齿轮传动的特点和类型；齿廓满足定比传动的条件；</w:t>
      </w:r>
      <w:r>
        <w:rPr>
          <w:rFonts w:ascii="宋体" w:hAnsi="宋体"/>
          <w:sz w:val="28"/>
          <w:szCs w:val="28"/>
        </w:rPr>
        <w:t>渐开线</w:t>
      </w:r>
      <w:r>
        <w:rPr>
          <w:rFonts w:hint="eastAsia" w:ascii="宋体" w:hAnsi="宋体"/>
          <w:sz w:val="28"/>
          <w:szCs w:val="28"/>
        </w:rPr>
        <w:t>的形成和特性；</w:t>
      </w:r>
      <w:r>
        <w:rPr>
          <w:rFonts w:ascii="宋体" w:hAnsi="宋体"/>
          <w:sz w:val="28"/>
          <w:szCs w:val="28"/>
        </w:rPr>
        <w:t>渐开线</w:t>
      </w:r>
      <w:r>
        <w:rPr>
          <w:rFonts w:hint="eastAsia" w:ascii="宋体" w:hAnsi="宋体"/>
          <w:sz w:val="28"/>
          <w:szCs w:val="28"/>
        </w:rPr>
        <w:t>齿廓的特点；渐开线齿轮</w:t>
      </w:r>
      <w:r>
        <w:rPr>
          <w:rFonts w:ascii="宋体" w:hAnsi="宋体"/>
          <w:sz w:val="28"/>
          <w:szCs w:val="28"/>
        </w:rPr>
        <w:t>（直齿圆柱齿轮、斜齿圆柱齿轮）</w:t>
      </w:r>
      <w:r>
        <w:rPr>
          <w:rFonts w:hint="eastAsia" w:ascii="宋体" w:hAnsi="宋体"/>
          <w:sz w:val="28"/>
          <w:szCs w:val="28"/>
        </w:rPr>
        <w:t>的几何尺寸计算；</w:t>
      </w:r>
      <w:r>
        <w:rPr>
          <w:rFonts w:ascii="宋体" w:hAnsi="宋体"/>
          <w:sz w:val="28"/>
          <w:szCs w:val="28"/>
        </w:rPr>
        <w:t>渐开线齿轮（直齿圆柱齿轮、斜齿圆柱齿轮）</w:t>
      </w:r>
      <w:r>
        <w:rPr>
          <w:rFonts w:hint="eastAsia" w:ascii="宋体" w:hAnsi="宋体"/>
          <w:sz w:val="28"/>
          <w:szCs w:val="28"/>
        </w:rPr>
        <w:t>的正确啮合和连续传动条件。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（6）轮系的作用和类型；定轴轮系、周转轮系和简单复合轮系的传动比计算；惰轮的意义；首、末轮转向关系的确定。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（7）棘轮机构的特点和工作原理；槽轮机构的特点和工作原理。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（8）螺纹的常用类型和特点；螺纹连接的基本类型、特点和应用；</w:t>
      </w:r>
      <w:r>
        <w:rPr>
          <w:rFonts w:ascii="宋体" w:hAnsi="宋体"/>
          <w:sz w:val="28"/>
          <w:szCs w:val="28"/>
        </w:rPr>
        <w:t>螺纹</w:t>
      </w:r>
      <w:r>
        <w:rPr>
          <w:rFonts w:hint="eastAsia" w:ascii="宋体" w:hAnsi="宋体"/>
          <w:sz w:val="28"/>
          <w:szCs w:val="28"/>
        </w:rPr>
        <w:t>连</w:t>
      </w:r>
      <w:r>
        <w:rPr>
          <w:rFonts w:ascii="宋体" w:hAnsi="宋体"/>
          <w:sz w:val="28"/>
          <w:szCs w:val="28"/>
        </w:rPr>
        <w:t>接的预紧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防松</w:t>
      </w:r>
      <w:r>
        <w:rPr>
          <w:rFonts w:hint="eastAsia" w:ascii="宋体" w:hAnsi="宋体"/>
          <w:sz w:val="28"/>
          <w:szCs w:val="28"/>
        </w:rPr>
        <w:t>和具体的防松方法；提高螺栓连</w:t>
      </w:r>
      <w:r>
        <w:rPr>
          <w:rFonts w:ascii="宋体" w:hAnsi="宋体"/>
          <w:sz w:val="28"/>
          <w:szCs w:val="28"/>
        </w:rPr>
        <w:t>接强度</w:t>
      </w:r>
      <w:r>
        <w:rPr>
          <w:rFonts w:hint="eastAsia" w:ascii="宋体" w:hAnsi="宋体"/>
          <w:sz w:val="28"/>
          <w:szCs w:val="28"/>
        </w:rPr>
        <w:t>的具体措施；键连接的类型和特点。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（9）</w:t>
      </w:r>
      <w:r>
        <w:rPr>
          <w:rFonts w:ascii="宋体" w:hAnsi="宋体"/>
          <w:sz w:val="28"/>
          <w:szCs w:val="28"/>
        </w:rPr>
        <w:t>齿轮轮齿的失效形式</w:t>
      </w:r>
      <w:r>
        <w:rPr>
          <w:rFonts w:hint="eastAsia" w:ascii="宋体" w:hAnsi="宋体"/>
          <w:sz w:val="28"/>
          <w:szCs w:val="28"/>
        </w:rPr>
        <w:t>；</w:t>
      </w:r>
      <w:r>
        <w:rPr>
          <w:rFonts w:ascii="宋体" w:hAnsi="宋体"/>
          <w:sz w:val="28"/>
          <w:szCs w:val="28"/>
        </w:rPr>
        <w:t>齿轮（直齿圆柱齿轮、斜齿圆柱齿轮</w:t>
      </w:r>
      <w:r>
        <w:rPr>
          <w:rFonts w:hint="eastAsia" w:ascii="宋体" w:hAnsi="宋体"/>
          <w:sz w:val="28"/>
          <w:szCs w:val="28"/>
        </w:rPr>
        <w:t>和锥齿轮</w:t>
      </w:r>
      <w:r>
        <w:rPr>
          <w:rFonts w:ascii="宋体" w:hAnsi="宋体"/>
          <w:sz w:val="28"/>
          <w:szCs w:val="28"/>
        </w:rPr>
        <w:t>）传动的受力分析</w:t>
      </w:r>
      <w:r>
        <w:rPr>
          <w:rFonts w:hint="eastAsia" w:ascii="宋体" w:hAnsi="宋体"/>
          <w:sz w:val="28"/>
          <w:szCs w:val="28"/>
        </w:rPr>
        <w:t>；齿轮传动的主要参数及选择；齿轮传动的设计计算方法。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（10）</w:t>
      </w:r>
      <w:r>
        <w:rPr>
          <w:rFonts w:ascii="宋体" w:hAnsi="宋体"/>
          <w:sz w:val="28"/>
          <w:szCs w:val="28"/>
        </w:rPr>
        <w:t>蜗杆</w:t>
      </w:r>
      <w:r>
        <w:rPr>
          <w:rFonts w:hint="eastAsia" w:ascii="宋体" w:hAnsi="宋体"/>
          <w:sz w:val="28"/>
          <w:szCs w:val="28"/>
        </w:rPr>
        <w:t>传动</w:t>
      </w:r>
      <w:r>
        <w:rPr>
          <w:rFonts w:ascii="宋体" w:hAnsi="宋体"/>
          <w:sz w:val="28"/>
          <w:szCs w:val="28"/>
        </w:rPr>
        <w:t>的</w:t>
      </w:r>
      <w:r>
        <w:rPr>
          <w:rFonts w:hint="eastAsia" w:ascii="宋体" w:hAnsi="宋体"/>
          <w:sz w:val="28"/>
          <w:szCs w:val="28"/>
        </w:rPr>
        <w:t>特点及应用；圆柱</w:t>
      </w:r>
      <w:r>
        <w:rPr>
          <w:rFonts w:ascii="宋体" w:hAnsi="宋体"/>
          <w:sz w:val="28"/>
          <w:szCs w:val="28"/>
        </w:rPr>
        <w:t>蜗杆的</w:t>
      </w:r>
      <w:r>
        <w:rPr>
          <w:rFonts w:hint="eastAsia" w:ascii="宋体" w:hAnsi="宋体"/>
          <w:sz w:val="28"/>
          <w:szCs w:val="28"/>
        </w:rPr>
        <w:t>主要参数和几何尺寸计算；</w:t>
      </w:r>
      <w:r>
        <w:rPr>
          <w:rFonts w:ascii="宋体" w:hAnsi="宋体"/>
          <w:sz w:val="28"/>
          <w:szCs w:val="28"/>
        </w:rPr>
        <w:t>正确啮合条件</w:t>
      </w:r>
      <w:r>
        <w:rPr>
          <w:rFonts w:hint="eastAsia" w:ascii="宋体" w:hAnsi="宋体"/>
          <w:sz w:val="28"/>
          <w:szCs w:val="28"/>
        </w:rPr>
        <w:t>；蜗杆传动的失效特点及材料的选择；</w:t>
      </w:r>
      <w:r>
        <w:rPr>
          <w:rFonts w:ascii="宋体" w:hAnsi="宋体"/>
          <w:sz w:val="28"/>
          <w:szCs w:val="28"/>
        </w:rPr>
        <w:t>蜗杆传动的受力分析</w:t>
      </w:r>
      <w:r>
        <w:rPr>
          <w:rFonts w:hint="eastAsia" w:ascii="宋体" w:hAnsi="宋体"/>
          <w:sz w:val="28"/>
          <w:szCs w:val="28"/>
        </w:rPr>
        <w:t>；</w:t>
      </w:r>
      <w:r>
        <w:rPr>
          <w:rFonts w:ascii="宋体" w:hAnsi="宋体"/>
          <w:sz w:val="28"/>
          <w:szCs w:val="28"/>
        </w:rPr>
        <w:t>蜗杆传动</w:t>
      </w:r>
      <w:r>
        <w:rPr>
          <w:rFonts w:hint="eastAsia" w:ascii="宋体" w:hAnsi="宋体"/>
          <w:sz w:val="28"/>
          <w:szCs w:val="28"/>
        </w:rPr>
        <w:t>散热的具体方法。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（11）带传动的类型和特点；带传动常用的张紧方法；带传动的受力分析和应力分析；带传动的弹性滑动、打滑、失效形式及带传动的设计准则；带传动的主要参数及其选择；V带轮的材料和结构。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（12）轴的类型及其判定；轴的常用材料；轴的结构设计。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（13）滑动轴承的分类、特点及应用。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（14）滚动轴承的特点、组成、主要类型、代号及选择；滚动轴承寿命所涉及的基本概念；滚动轴承寿命的计算和组合</w:t>
      </w:r>
      <w:r>
        <w:rPr>
          <w:rFonts w:ascii="宋体" w:hAnsi="宋体"/>
          <w:sz w:val="28"/>
          <w:szCs w:val="28"/>
        </w:rPr>
        <w:t>设计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（15）联轴器和离合器的作用和分类，常见联轴器的特点。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</w:p>
    <w:p>
      <w:pPr>
        <w:snapToGrid w:val="0"/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第二部分：控制工程基础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要求考生熟悉经典控制理论的基本概念、掌握闭环控制系统分析的基本方法，具备一定的工程实际控制问题分析和处理的能力。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</w:t>
      </w:r>
      <w:r>
        <w:rPr>
          <w:rFonts w:ascii="宋体" w:hAnsi="宋体"/>
          <w:sz w:val="28"/>
          <w:szCs w:val="28"/>
        </w:rPr>
        <w:t>自动控制系统的</w:t>
      </w:r>
      <w:r>
        <w:rPr>
          <w:rFonts w:hint="eastAsia" w:ascii="宋体" w:hAnsi="宋体"/>
          <w:sz w:val="28"/>
          <w:szCs w:val="28"/>
        </w:rPr>
        <w:t>一般</w:t>
      </w:r>
      <w:r>
        <w:rPr>
          <w:rFonts w:ascii="宋体" w:hAnsi="宋体"/>
          <w:sz w:val="28"/>
          <w:szCs w:val="28"/>
        </w:rPr>
        <w:t>概念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手动控制与自动控制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开环控制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闭环控制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复合控制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自动控制系统</w:t>
      </w:r>
      <w:r>
        <w:rPr>
          <w:rFonts w:hint="eastAsia" w:ascii="宋体" w:hAnsi="宋体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稳定性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动态特性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静态特性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自动控制系统的分类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</w:t>
      </w:r>
      <w:r>
        <w:rPr>
          <w:rFonts w:ascii="宋体" w:hAnsi="宋体"/>
          <w:sz w:val="28"/>
          <w:szCs w:val="28"/>
        </w:rPr>
        <w:t>线性控制系统的数学模型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线性控制系统的微分方程描述法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传递函数描述法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传递函数的定义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基本性质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典型环节的传递函数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方框图</w:t>
      </w:r>
      <w:r>
        <w:rPr>
          <w:rFonts w:hint="eastAsia" w:ascii="宋体" w:hAnsi="宋体"/>
          <w:sz w:val="28"/>
          <w:szCs w:val="28"/>
        </w:rPr>
        <w:t>及</w:t>
      </w:r>
      <w:r>
        <w:rPr>
          <w:rFonts w:ascii="宋体" w:hAnsi="宋体"/>
          <w:sz w:val="28"/>
          <w:szCs w:val="28"/>
        </w:rPr>
        <w:t>方框图的等效</w:t>
      </w:r>
      <w:r>
        <w:rPr>
          <w:rFonts w:hint="eastAsia" w:ascii="宋体" w:hAnsi="宋体"/>
          <w:sz w:val="28"/>
          <w:szCs w:val="28"/>
        </w:rPr>
        <w:t>变</w:t>
      </w:r>
      <w:r>
        <w:rPr>
          <w:rFonts w:ascii="宋体" w:hAnsi="宋体"/>
          <w:sz w:val="28"/>
          <w:szCs w:val="28"/>
        </w:rPr>
        <w:t>换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信号流图</w:t>
      </w:r>
      <w:r>
        <w:rPr>
          <w:rFonts w:hint="eastAsia" w:ascii="宋体" w:hAnsi="宋体"/>
          <w:sz w:val="28"/>
          <w:szCs w:val="28"/>
        </w:rPr>
        <w:t>及</w:t>
      </w:r>
      <w:r>
        <w:rPr>
          <w:rFonts w:ascii="宋体" w:hAnsi="宋体"/>
          <w:sz w:val="28"/>
          <w:szCs w:val="28"/>
        </w:rPr>
        <w:t>梅森公式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系统的开环传递函数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闭环传递函数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误差传递函数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</w:t>
      </w:r>
      <w:r>
        <w:rPr>
          <w:rFonts w:ascii="宋体" w:hAnsi="宋体"/>
          <w:sz w:val="28"/>
          <w:szCs w:val="28"/>
        </w:rPr>
        <w:t>控制系统的时域分析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典型输入信号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线性定常系统的时域响应与性能指标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一阶系统的数学模型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时域响应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性能指标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二阶系统的数学模型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时域响应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性能指标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高阶系统的时域响应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闭环主导极点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控制系统稳定性的概念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充分必要条件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劳斯稳定判据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赫尔维茨稳定判据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相对稳定性和稳定裕度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系统的误差及稳态误差的基本概念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稳态误差的计算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动态误差系数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改善系统稳态精度的途径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</w:t>
      </w:r>
      <w:r>
        <w:rPr>
          <w:rFonts w:ascii="宋体" w:hAnsi="宋体"/>
          <w:sz w:val="28"/>
          <w:szCs w:val="28"/>
        </w:rPr>
        <w:t>根轨迹法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根轨迹的基本概念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根轨迹方程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常规根轨迹绘制规则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广义根轨迹及其绘制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控制系统的根轨迹分析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基于根轨迹的系统稳定性分析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稳态性能分析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动态性能分析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增加开环零极点对根轨迹的影响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（5）</w:t>
      </w:r>
      <w:r>
        <w:rPr>
          <w:rFonts w:ascii="宋体" w:hAnsi="宋体"/>
          <w:sz w:val="28"/>
          <w:szCs w:val="28"/>
        </w:rPr>
        <w:t>控制系统的频域分析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频率特性的基本概念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典型环节的频率特性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系统开环频率特性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控制系统的频域稳定性判据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控制系统的相对稳定性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相位裕量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增益裕量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开环对数频率特性与相对稳定性的关系</w:t>
      </w:r>
      <w:r>
        <w:rPr>
          <w:rFonts w:hint="eastAsia" w:ascii="宋体" w:hAnsi="宋体"/>
          <w:sz w:val="28"/>
          <w:szCs w:val="28"/>
        </w:rPr>
        <w:t>），</w:t>
      </w:r>
      <w:r>
        <w:rPr>
          <w:rFonts w:ascii="宋体" w:hAnsi="宋体"/>
          <w:sz w:val="28"/>
          <w:szCs w:val="28"/>
        </w:rPr>
        <w:t>控制系统的闭环频率特性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频域性能指标与时域性能指标的关系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（6）</w:t>
      </w:r>
      <w:r>
        <w:rPr>
          <w:rFonts w:ascii="宋体" w:hAnsi="宋体"/>
          <w:sz w:val="28"/>
          <w:szCs w:val="28"/>
        </w:rPr>
        <w:t>控制系统的校正与设计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控制系统校正的概念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常用校正装置及其特性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超前校正装置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滞后校正装置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滞后超前校正装置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PID校正装置</w:t>
      </w:r>
      <w:r>
        <w:rPr>
          <w:rFonts w:hint="eastAsia" w:ascii="宋体" w:hAnsi="宋体"/>
          <w:sz w:val="28"/>
          <w:szCs w:val="28"/>
        </w:rPr>
        <w:t>），</w:t>
      </w:r>
      <w:r>
        <w:rPr>
          <w:rFonts w:ascii="宋体" w:hAnsi="宋体"/>
          <w:sz w:val="28"/>
          <w:szCs w:val="28"/>
        </w:rPr>
        <w:t>采用频率法进行串联校正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反馈校正及其参数确定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napToGrid w:val="0"/>
        <w:spacing w:before="355" w:beforeLines="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四、推荐书目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.杨可桢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程光蕴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李仲生等.机械设计基础</w:t>
      </w: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第</w:t>
      </w:r>
      <w:r>
        <w:rPr>
          <w:rFonts w:ascii="宋体" w:hAnsi="宋体"/>
          <w:sz w:val="28"/>
          <w:szCs w:val="28"/>
        </w:rPr>
        <w:t>7</w:t>
      </w:r>
      <w:r>
        <w:rPr>
          <w:rFonts w:hint="eastAsia" w:ascii="宋体" w:hAnsi="宋体"/>
          <w:sz w:val="28"/>
          <w:szCs w:val="28"/>
        </w:rPr>
        <w:t>版</w:t>
      </w:r>
      <w:r>
        <w:rPr>
          <w:rFonts w:ascii="宋体" w:hAnsi="宋体"/>
          <w:sz w:val="28"/>
          <w:szCs w:val="28"/>
        </w:rPr>
        <w:t>).</w:t>
      </w:r>
      <w:r>
        <w:rPr>
          <w:rFonts w:hint="eastAsia" w:ascii="宋体" w:hAnsi="宋体"/>
          <w:sz w:val="28"/>
          <w:szCs w:val="28"/>
        </w:rPr>
        <w:t>高等教育出版社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</w:rPr>
        <w:t>年.</w:t>
      </w:r>
    </w:p>
    <w:p>
      <w:pPr>
        <w:snapToGrid w:val="0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吴怀宇,廖家平.自动控制原理(第3版).华中科技大学出版社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201</w:t>
      </w:r>
      <w:r>
        <w:rPr>
          <w:rFonts w:ascii="宋体" w:hAnsi="宋体"/>
          <w:sz w:val="28"/>
          <w:szCs w:val="28"/>
        </w:rPr>
        <w:t>7</w:t>
      </w:r>
      <w:r>
        <w:rPr>
          <w:rFonts w:hint="eastAsia" w:ascii="宋体" w:hAnsi="宋体"/>
          <w:sz w:val="28"/>
          <w:szCs w:val="28"/>
        </w:rPr>
        <w:t>年.</w:t>
      </w:r>
    </w:p>
    <w:sectPr>
      <w:footerReference r:id="rId3" w:type="default"/>
      <w:footerReference r:id="rId4" w:type="even"/>
      <w:pgSz w:w="11906" w:h="16838"/>
      <w:pgMar w:top="1440" w:right="1418" w:bottom="1440" w:left="1418" w:header="851" w:footer="992" w:gutter="0"/>
      <w:cols w:space="425" w:num="1"/>
      <w:docGrid w:type="lines" w:linePitch="71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5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YzFkOWFmNTVmMDAyOWI1NjI3YTI1NWQ2MmRhMWIifQ=="/>
  </w:docVars>
  <w:rsids>
    <w:rsidRoot w:val="00CB4FC9"/>
    <w:rsid w:val="000076D5"/>
    <w:rsid w:val="00021D82"/>
    <w:rsid w:val="0005416E"/>
    <w:rsid w:val="00096167"/>
    <w:rsid w:val="000A19B4"/>
    <w:rsid w:val="000A2650"/>
    <w:rsid w:val="000A53F0"/>
    <w:rsid w:val="000B681F"/>
    <w:rsid w:val="000B6A9C"/>
    <w:rsid w:val="000D3ADF"/>
    <w:rsid w:val="000D6C39"/>
    <w:rsid w:val="00144293"/>
    <w:rsid w:val="00174767"/>
    <w:rsid w:val="00175B82"/>
    <w:rsid w:val="001831C8"/>
    <w:rsid w:val="001917D1"/>
    <w:rsid w:val="0019521D"/>
    <w:rsid w:val="00196D2A"/>
    <w:rsid w:val="001E182F"/>
    <w:rsid w:val="0020056B"/>
    <w:rsid w:val="00206670"/>
    <w:rsid w:val="0021614F"/>
    <w:rsid w:val="00222AE1"/>
    <w:rsid w:val="0022749D"/>
    <w:rsid w:val="002300CF"/>
    <w:rsid w:val="002422B2"/>
    <w:rsid w:val="00281190"/>
    <w:rsid w:val="002C7C38"/>
    <w:rsid w:val="002D0485"/>
    <w:rsid w:val="002E33D1"/>
    <w:rsid w:val="002F1AE4"/>
    <w:rsid w:val="002F3F68"/>
    <w:rsid w:val="002F66C3"/>
    <w:rsid w:val="00315091"/>
    <w:rsid w:val="003254A2"/>
    <w:rsid w:val="00336F71"/>
    <w:rsid w:val="003A0253"/>
    <w:rsid w:val="003D119B"/>
    <w:rsid w:val="00405D25"/>
    <w:rsid w:val="00421ECC"/>
    <w:rsid w:val="00425278"/>
    <w:rsid w:val="004260A7"/>
    <w:rsid w:val="004307B8"/>
    <w:rsid w:val="004B1880"/>
    <w:rsid w:val="004B2F3B"/>
    <w:rsid w:val="004C019C"/>
    <w:rsid w:val="004D0E88"/>
    <w:rsid w:val="004D6374"/>
    <w:rsid w:val="004F2783"/>
    <w:rsid w:val="005476D1"/>
    <w:rsid w:val="0056541B"/>
    <w:rsid w:val="0058003E"/>
    <w:rsid w:val="005818AF"/>
    <w:rsid w:val="0059075F"/>
    <w:rsid w:val="005B3639"/>
    <w:rsid w:val="00610F0A"/>
    <w:rsid w:val="00611865"/>
    <w:rsid w:val="00622969"/>
    <w:rsid w:val="0062709A"/>
    <w:rsid w:val="00630F77"/>
    <w:rsid w:val="00640EAB"/>
    <w:rsid w:val="00644E0C"/>
    <w:rsid w:val="00677B7D"/>
    <w:rsid w:val="006911CE"/>
    <w:rsid w:val="00693D3A"/>
    <w:rsid w:val="006B7987"/>
    <w:rsid w:val="006E5AB4"/>
    <w:rsid w:val="00707B49"/>
    <w:rsid w:val="007223B4"/>
    <w:rsid w:val="00735791"/>
    <w:rsid w:val="00736B26"/>
    <w:rsid w:val="00740A0C"/>
    <w:rsid w:val="00747149"/>
    <w:rsid w:val="00775A39"/>
    <w:rsid w:val="007818BC"/>
    <w:rsid w:val="007862E7"/>
    <w:rsid w:val="00792CBE"/>
    <w:rsid w:val="007973D4"/>
    <w:rsid w:val="00840511"/>
    <w:rsid w:val="00867F6B"/>
    <w:rsid w:val="00894FF4"/>
    <w:rsid w:val="008E1F67"/>
    <w:rsid w:val="008E7059"/>
    <w:rsid w:val="0093275F"/>
    <w:rsid w:val="00937BF9"/>
    <w:rsid w:val="00973625"/>
    <w:rsid w:val="00973F16"/>
    <w:rsid w:val="00977534"/>
    <w:rsid w:val="009871D4"/>
    <w:rsid w:val="00994EFA"/>
    <w:rsid w:val="00996A97"/>
    <w:rsid w:val="009A63EF"/>
    <w:rsid w:val="009A6FCD"/>
    <w:rsid w:val="009B1577"/>
    <w:rsid w:val="009B3098"/>
    <w:rsid w:val="009E1304"/>
    <w:rsid w:val="00A0619B"/>
    <w:rsid w:val="00A1710E"/>
    <w:rsid w:val="00A2519A"/>
    <w:rsid w:val="00A47A08"/>
    <w:rsid w:val="00A97539"/>
    <w:rsid w:val="00AC407B"/>
    <w:rsid w:val="00AD367E"/>
    <w:rsid w:val="00AD5C58"/>
    <w:rsid w:val="00AF41DB"/>
    <w:rsid w:val="00B43B68"/>
    <w:rsid w:val="00B45D14"/>
    <w:rsid w:val="00B50DC4"/>
    <w:rsid w:val="00B53D9E"/>
    <w:rsid w:val="00B56075"/>
    <w:rsid w:val="00B74F9C"/>
    <w:rsid w:val="00B86414"/>
    <w:rsid w:val="00BA0437"/>
    <w:rsid w:val="00BC26A2"/>
    <w:rsid w:val="00BD1906"/>
    <w:rsid w:val="00C01051"/>
    <w:rsid w:val="00C07465"/>
    <w:rsid w:val="00C45E99"/>
    <w:rsid w:val="00C92264"/>
    <w:rsid w:val="00CA0201"/>
    <w:rsid w:val="00CB4FC9"/>
    <w:rsid w:val="00CD5753"/>
    <w:rsid w:val="00D326D7"/>
    <w:rsid w:val="00D4536A"/>
    <w:rsid w:val="00D76958"/>
    <w:rsid w:val="00D829D5"/>
    <w:rsid w:val="00DA2CD9"/>
    <w:rsid w:val="00DA3F5F"/>
    <w:rsid w:val="00DC3D76"/>
    <w:rsid w:val="00DC42FE"/>
    <w:rsid w:val="00DE2E8E"/>
    <w:rsid w:val="00DF09C5"/>
    <w:rsid w:val="00DF3D46"/>
    <w:rsid w:val="00E05027"/>
    <w:rsid w:val="00E1290D"/>
    <w:rsid w:val="00E500CA"/>
    <w:rsid w:val="00E52F85"/>
    <w:rsid w:val="00E67E81"/>
    <w:rsid w:val="00E724A0"/>
    <w:rsid w:val="00E86E65"/>
    <w:rsid w:val="00EA2F7F"/>
    <w:rsid w:val="00EA694E"/>
    <w:rsid w:val="00EB5467"/>
    <w:rsid w:val="00EB70E1"/>
    <w:rsid w:val="00EC0E67"/>
    <w:rsid w:val="00EC1EE4"/>
    <w:rsid w:val="00ED0924"/>
    <w:rsid w:val="00ED2576"/>
    <w:rsid w:val="00F01D5F"/>
    <w:rsid w:val="00F03A25"/>
    <w:rsid w:val="00F10807"/>
    <w:rsid w:val="00F15F9C"/>
    <w:rsid w:val="00F20ACC"/>
    <w:rsid w:val="00F33103"/>
    <w:rsid w:val="00F37DD8"/>
    <w:rsid w:val="00F41F0A"/>
    <w:rsid w:val="00F66C97"/>
    <w:rsid w:val="00F7188F"/>
    <w:rsid w:val="00F7683A"/>
    <w:rsid w:val="00FA4A17"/>
    <w:rsid w:val="00FC2FCB"/>
    <w:rsid w:val="275C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眉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3</Pages>
  <Words>2059</Words>
  <Characters>2094</Characters>
  <Lines>1</Lines>
  <Paragraphs>4</Paragraphs>
  <TotalTime>0</TotalTime>
  <ScaleCrop>false</ScaleCrop>
  <LinksUpToDate>false</LinksUpToDate>
  <CharactersWithSpaces>2095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2022-06-15T13:52:00Z</dcterms:created>
  <dc:creator>MC SYSTEM</dc:creator>
  <cp:lastModifiedBy>守护神</cp:lastModifiedBy>
  <cp:lastPrinted>2007-07-19T02:05:00Z</cp:lastPrinted>
  <dcterms:modified xsi:type="dcterms:W3CDTF">2022-07-28T15:00:37Z</dcterms:modified>
  <dc:title>五、考试大纲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B908607F2A1A4D6A975948A438552910</vt:lpwstr>
  </property>
</Properties>
</file>